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4F106B1" w14:textId="2BF4AA39" w:rsidR="006517D0" w:rsidRPr="0011601D" w:rsidRDefault="009D2A28" w:rsidP="006517D0">
      <w:pPr>
        <w:pStyle w:val="Header"/>
        <w:tabs>
          <w:tab w:val="center" w:pos="4536"/>
          <w:tab w:val="right" w:pos="9356"/>
          <w:tab w:val="right" w:pos="9781"/>
        </w:tabs>
        <w:ind w:right="-58"/>
        <w:rPr>
          <w:rFonts w:cs="Arial"/>
          <w:bCs/>
          <w:sz w:val="28"/>
          <w:szCs w:val="24"/>
          <w:lang w:val="en-US" w:eastAsia="zh-TW"/>
        </w:rPr>
      </w:pPr>
      <w:bookmarkStart w:id="0" w:name="historyclause"/>
      <w:bookmarkStart w:id="1" w:name="_Toc383764588"/>
      <w:r w:rsidRPr="0011601D">
        <w:rPr>
          <w:rFonts w:cs="Arial"/>
          <w:bCs/>
          <w:sz w:val="28"/>
        </w:rPr>
        <w:t xml:space="preserve">3GPP TSG RAN WG1 Meeting </w:t>
      </w:r>
      <w:r w:rsidR="00E30D1E">
        <w:rPr>
          <w:rFonts w:cs="Arial"/>
          <w:bCs/>
          <w:sz w:val="28"/>
        </w:rPr>
        <w:t>#104</w:t>
      </w:r>
      <w:r w:rsidR="00A1447D" w:rsidRPr="0011601D">
        <w:rPr>
          <w:rFonts w:cs="Arial"/>
          <w:bCs/>
          <w:sz w:val="28"/>
        </w:rPr>
        <w:t>e</w:t>
      </w:r>
      <w:r w:rsidR="001361C1" w:rsidRPr="0011601D">
        <w:rPr>
          <w:rFonts w:cs="Arial"/>
          <w:bCs/>
          <w:sz w:val="28"/>
        </w:rPr>
        <w:t xml:space="preserve"> </w:t>
      </w:r>
      <w:r w:rsidR="00767D60" w:rsidRPr="0011601D">
        <w:rPr>
          <w:rFonts w:cs="Arial"/>
          <w:bCs/>
          <w:sz w:val="28"/>
        </w:rPr>
        <w:t xml:space="preserve"> </w:t>
      </w:r>
      <w:r w:rsidR="005203DE" w:rsidRPr="0011601D">
        <w:rPr>
          <w:rFonts w:cs="Arial"/>
          <w:bCs/>
          <w:sz w:val="28"/>
          <w:szCs w:val="24"/>
          <w:lang w:val="en-US" w:eastAsia="zh-TW"/>
        </w:rPr>
        <w:tab/>
      </w:r>
      <w:r w:rsidR="00375C88">
        <w:rPr>
          <w:rFonts w:eastAsia="MS Mincho" w:cs="Arial"/>
          <w:bCs/>
          <w:sz w:val="28"/>
          <w:szCs w:val="24"/>
          <w:lang w:val="en-US"/>
        </w:rPr>
        <w:t>R1-21</w:t>
      </w:r>
      <w:r w:rsidR="00A1447D" w:rsidRPr="0011601D">
        <w:rPr>
          <w:rFonts w:eastAsia="MS Mincho" w:cs="Arial"/>
          <w:bCs/>
          <w:sz w:val="28"/>
          <w:szCs w:val="24"/>
          <w:lang w:val="en-US"/>
        </w:rPr>
        <w:t>0</w:t>
      </w:r>
      <w:r w:rsidR="007D4983">
        <w:rPr>
          <w:rFonts w:eastAsia="MS Mincho" w:cs="Arial"/>
          <w:bCs/>
          <w:sz w:val="28"/>
          <w:szCs w:val="24"/>
          <w:lang w:val="en-US"/>
        </w:rPr>
        <w:t>0597</w:t>
      </w:r>
    </w:p>
    <w:p w14:paraId="6D9A9A80" w14:textId="173CDB03" w:rsidR="006517D0" w:rsidRPr="0011601D" w:rsidRDefault="00E30D1E" w:rsidP="006517D0">
      <w:pPr>
        <w:pStyle w:val="Header"/>
        <w:tabs>
          <w:tab w:val="center" w:pos="4536"/>
          <w:tab w:val="right" w:pos="8280"/>
          <w:tab w:val="right" w:pos="9781"/>
        </w:tabs>
        <w:spacing w:after="240"/>
        <w:ind w:right="-58"/>
        <w:rPr>
          <w:rFonts w:cs="Arial"/>
          <w:bCs/>
          <w:sz w:val="28"/>
          <w:szCs w:val="24"/>
          <w:lang w:eastAsia="zh-TW"/>
        </w:rPr>
      </w:pPr>
      <w:r>
        <w:rPr>
          <w:rFonts w:cs="Arial"/>
          <w:bCs/>
          <w:sz w:val="28"/>
        </w:rPr>
        <w:t>January 25</w:t>
      </w:r>
      <w:r w:rsidRPr="00C9253E">
        <w:rPr>
          <w:rFonts w:cs="Arial"/>
          <w:bCs/>
          <w:sz w:val="28"/>
          <w:vertAlign w:val="superscript"/>
        </w:rPr>
        <w:t>th</w:t>
      </w:r>
      <w:r>
        <w:rPr>
          <w:rFonts w:cs="Arial"/>
          <w:bCs/>
          <w:sz w:val="28"/>
        </w:rPr>
        <w:t xml:space="preserve"> </w:t>
      </w:r>
      <w:r w:rsidRPr="002148BA">
        <w:rPr>
          <w:rFonts w:cs="Arial"/>
          <w:bCs/>
          <w:sz w:val="28"/>
        </w:rPr>
        <w:t xml:space="preserve"> – </w:t>
      </w:r>
      <w:r>
        <w:rPr>
          <w:rFonts w:cs="Arial"/>
          <w:bCs/>
          <w:sz w:val="28"/>
        </w:rPr>
        <w:t>February 5</w:t>
      </w:r>
      <w:r w:rsidRPr="00C9253E">
        <w:rPr>
          <w:rFonts w:cs="Arial"/>
          <w:bCs/>
          <w:sz w:val="28"/>
          <w:vertAlign w:val="superscript"/>
        </w:rPr>
        <w:t>th</w:t>
      </w:r>
      <w:r w:rsidRPr="00B5587F">
        <w:rPr>
          <w:rFonts w:cs="Arial"/>
          <w:bCs/>
          <w:sz w:val="28"/>
        </w:rPr>
        <w:t>,</w:t>
      </w:r>
      <w:r>
        <w:rPr>
          <w:rFonts w:cs="Arial"/>
          <w:bCs/>
          <w:sz w:val="28"/>
        </w:rPr>
        <w:t xml:space="preserve"> </w:t>
      </w:r>
      <w:r w:rsidR="00A1447D" w:rsidRPr="0011601D">
        <w:rPr>
          <w:rFonts w:cs="Arial"/>
          <w:bCs/>
          <w:sz w:val="28"/>
        </w:rPr>
        <w:t>202</w:t>
      </w:r>
      <w:r>
        <w:rPr>
          <w:rFonts w:cs="Arial"/>
          <w:bCs/>
          <w:sz w:val="28"/>
        </w:rPr>
        <w:t>1</w:t>
      </w:r>
      <w:r w:rsidR="00634586" w:rsidRPr="0011601D">
        <w:rPr>
          <w:rFonts w:eastAsia="MS Mincho" w:cs="Arial"/>
          <w:bCs/>
          <w:sz w:val="28"/>
          <w:lang w:eastAsia="ja-JP"/>
        </w:rPr>
        <w:t xml:space="preserve"> </w:t>
      </w:r>
      <w:r w:rsidR="00DA3A69" w:rsidRPr="0011601D">
        <w:rPr>
          <w:rFonts w:cs="Arial"/>
          <w:bCs/>
          <w:sz w:val="28"/>
        </w:rPr>
        <w:t xml:space="preserve"> </w:t>
      </w:r>
      <w:r w:rsidR="00297FB4" w:rsidRPr="0011601D">
        <w:rPr>
          <w:rFonts w:cs="Arial"/>
          <w:bCs/>
          <w:sz w:val="28"/>
        </w:rPr>
        <w:t xml:space="preserve"> </w:t>
      </w:r>
    </w:p>
    <w:p w14:paraId="5F261769" w14:textId="1A53CBA8" w:rsidR="006517D0" w:rsidRPr="0011601D" w:rsidRDefault="006517D0" w:rsidP="006517D0">
      <w:pPr>
        <w:pStyle w:val="Header"/>
        <w:tabs>
          <w:tab w:val="center" w:pos="4536"/>
          <w:tab w:val="right" w:pos="8280"/>
          <w:tab w:val="right" w:pos="9781"/>
        </w:tabs>
        <w:ind w:right="-58"/>
        <w:rPr>
          <w:rFonts w:cs="Arial"/>
          <w:bCs/>
          <w:sz w:val="28"/>
          <w:szCs w:val="24"/>
          <w:lang w:val="en-US" w:eastAsia="zh-TW"/>
        </w:rPr>
      </w:pPr>
      <w:r w:rsidRPr="0011601D">
        <w:rPr>
          <w:rFonts w:eastAsia="MS Mincho" w:cs="Arial"/>
          <w:bCs/>
          <w:sz w:val="28"/>
          <w:szCs w:val="24"/>
          <w:lang w:val="en-US"/>
        </w:rPr>
        <w:t>Agenda Item:</w:t>
      </w:r>
      <w:r w:rsidRPr="0011601D">
        <w:rPr>
          <w:rFonts w:cs="Arial"/>
          <w:bCs/>
          <w:sz w:val="28"/>
          <w:szCs w:val="24"/>
          <w:lang w:val="en-US" w:eastAsia="zh-TW"/>
        </w:rPr>
        <w:t xml:space="preserve"> </w:t>
      </w:r>
      <w:r w:rsidR="004F402C" w:rsidRPr="0011601D">
        <w:rPr>
          <w:rFonts w:cs="Arial"/>
          <w:bCs/>
          <w:sz w:val="28"/>
          <w:szCs w:val="24"/>
          <w:lang w:val="en-US" w:eastAsia="zh-TW"/>
        </w:rPr>
        <w:t>8.4.</w:t>
      </w:r>
      <w:r w:rsidR="00C444BD" w:rsidRPr="0011601D">
        <w:rPr>
          <w:rFonts w:cs="Arial"/>
          <w:bCs/>
          <w:sz w:val="28"/>
          <w:szCs w:val="24"/>
          <w:lang w:val="en-US" w:eastAsia="zh-TW"/>
        </w:rPr>
        <w:t>4</w:t>
      </w:r>
    </w:p>
    <w:p w14:paraId="535CFB2C" w14:textId="7F6A3C7D" w:rsidR="006517D0" w:rsidRPr="0011601D" w:rsidRDefault="006517D0" w:rsidP="006517D0">
      <w:pPr>
        <w:pStyle w:val="Header"/>
        <w:tabs>
          <w:tab w:val="center" w:pos="4536"/>
          <w:tab w:val="right" w:pos="8280"/>
          <w:tab w:val="right" w:pos="9781"/>
        </w:tabs>
        <w:ind w:right="-58"/>
        <w:rPr>
          <w:rFonts w:eastAsia="MS Mincho" w:cs="Arial"/>
          <w:bCs/>
          <w:sz w:val="28"/>
          <w:szCs w:val="24"/>
          <w:lang w:val="en-US"/>
        </w:rPr>
      </w:pPr>
      <w:r w:rsidRPr="0011601D">
        <w:rPr>
          <w:rFonts w:eastAsia="MS Mincho" w:cs="Arial"/>
          <w:bCs/>
          <w:sz w:val="28"/>
          <w:szCs w:val="24"/>
          <w:lang w:val="en-US"/>
        </w:rPr>
        <w:t>Source:</w:t>
      </w:r>
      <w:r w:rsidRPr="0011601D">
        <w:rPr>
          <w:rFonts w:cs="Arial"/>
          <w:bCs/>
          <w:sz w:val="28"/>
          <w:szCs w:val="24"/>
          <w:lang w:val="en-US" w:eastAsia="zh-TW"/>
        </w:rPr>
        <w:t xml:space="preserve"> </w:t>
      </w:r>
      <w:r w:rsidRPr="0011601D">
        <w:rPr>
          <w:rFonts w:eastAsia="MS Mincho" w:cs="Arial"/>
          <w:bCs/>
          <w:sz w:val="28"/>
          <w:szCs w:val="24"/>
          <w:lang w:val="en-US"/>
        </w:rPr>
        <w:t>MediaTek Inc.</w:t>
      </w:r>
      <w:r w:rsidR="008F10CD">
        <w:rPr>
          <w:rFonts w:eastAsia="MS Mincho" w:cs="Arial"/>
          <w:bCs/>
          <w:sz w:val="28"/>
          <w:szCs w:val="24"/>
          <w:lang w:val="en-US"/>
        </w:rPr>
        <w:t>, [Eutelsat]</w:t>
      </w:r>
    </w:p>
    <w:p w14:paraId="574EED62" w14:textId="4DC52B05" w:rsidR="00924197" w:rsidRPr="0011601D" w:rsidRDefault="006517D0" w:rsidP="00924197">
      <w:pPr>
        <w:pStyle w:val="Header"/>
        <w:tabs>
          <w:tab w:val="center" w:pos="4536"/>
          <w:tab w:val="right" w:pos="8280"/>
          <w:tab w:val="right" w:pos="9781"/>
        </w:tabs>
        <w:ind w:left="770" w:right="-58" w:hanging="770"/>
        <w:rPr>
          <w:rFonts w:cs="Arial"/>
          <w:bCs/>
          <w:sz w:val="28"/>
          <w:szCs w:val="24"/>
          <w:lang w:val="en-US" w:eastAsia="zh-TW"/>
        </w:rPr>
      </w:pPr>
      <w:r w:rsidRPr="0011601D">
        <w:rPr>
          <w:rFonts w:eastAsia="MS Mincho" w:cs="Arial"/>
          <w:bCs/>
          <w:sz w:val="28"/>
          <w:szCs w:val="24"/>
          <w:lang w:val="en-US"/>
        </w:rPr>
        <w:t>Title:</w:t>
      </w:r>
      <w:r w:rsidRPr="0011601D">
        <w:rPr>
          <w:rFonts w:cs="Arial"/>
          <w:bCs/>
          <w:sz w:val="28"/>
          <w:szCs w:val="24"/>
          <w:lang w:val="en-US" w:eastAsia="zh-TW"/>
        </w:rPr>
        <w:t xml:space="preserve"> </w:t>
      </w:r>
      <w:r w:rsidR="00CE2F70">
        <w:rPr>
          <w:rFonts w:cs="Arial"/>
          <w:bCs/>
          <w:sz w:val="28"/>
          <w:szCs w:val="24"/>
          <w:lang w:val="en-US" w:eastAsia="zh-TW"/>
        </w:rPr>
        <w:t xml:space="preserve">Other Aspects of </w:t>
      </w:r>
      <w:r w:rsidR="004F402C" w:rsidRPr="0011601D">
        <w:rPr>
          <w:rFonts w:cs="Arial"/>
          <w:bCs/>
          <w:sz w:val="28"/>
          <w:szCs w:val="24"/>
          <w:lang w:val="en-US" w:eastAsia="zh-TW"/>
        </w:rPr>
        <w:t xml:space="preserve"> </w:t>
      </w:r>
      <w:r w:rsidR="00924197" w:rsidRPr="0011601D">
        <w:rPr>
          <w:rFonts w:cs="Arial"/>
          <w:bCs/>
          <w:sz w:val="28"/>
          <w:szCs w:val="24"/>
          <w:lang w:val="en-US" w:eastAsia="zh-TW"/>
        </w:rPr>
        <w:t>NR-NTN</w:t>
      </w:r>
    </w:p>
    <w:p w14:paraId="35240FDD" w14:textId="77777777" w:rsidR="006517D0" w:rsidRPr="0011601D" w:rsidRDefault="006517D0" w:rsidP="006517D0">
      <w:pPr>
        <w:pStyle w:val="Header"/>
        <w:tabs>
          <w:tab w:val="center" w:pos="4536"/>
          <w:tab w:val="right" w:pos="8280"/>
          <w:tab w:val="right" w:pos="9781"/>
        </w:tabs>
        <w:spacing w:after="120"/>
        <w:ind w:right="-58"/>
        <w:rPr>
          <w:rFonts w:cs="Arial"/>
          <w:bCs/>
          <w:sz w:val="28"/>
          <w:szCs w:val="24"/>
          <w:lang w:val="en-US" w:eastAsia="zh-TW"/>
        </w:rPr>
      </w:pPr>
      <w:r w:rsidRPr="0011601D">
        <w:rPr>
          <w:rFonts w:eastAsia="MS Mincho" w:cs="Arial"/>
          <w:bCs/>
          <w:sz w:val="28"/>
          <w:szCs w:val="24"/>
          <w:lang w:val="en-US"/>
        </w:rPr>
        <w:t>Document for:</w:t>
      </w:r>
      <w:r w:rsidRPr="0011601D">
        <w:rPr>
          <w:rFonts w:cs="Arial"/>
          <w:bCs/>
          <w:sz w:val="28"/>
          <w:szCs w:val="24"/>
          <w:lang w:val="en-US" w:eastAsia="zh-TW"/>
        </w:rPr>
        <w:t xml:space="preserve"> </w:t>
      </w:r>
      <w:r w:rsidR="00791352" w:rsidRPr="0011601D">
        <w:rPr>
          <w:rFonts w:eastAsia="MS Mincho" w:cs="Arial"/>
          <w:bCs/>
          <w:sz w:val="28"/>
          <w:szCs w:val="24"/>
          <w:lang w:val="en-US"/>
        </w:rPr>
        <w:t>Discussion</w:t>
      </w:r>
      <w:r w:rsidR="00297FB4" w:rsidRPr="0011601D">
        <w:rPr>
          <w:rFonts w:eastAsia="MS Mincho" w:cs="Arial"/>
          <w:bCs/>
          <w:sz w:val="28"/>
          <w:szCs w:val="24"/>
          <w:lang w:val="en-US"/>
        </w:rPr>
        <w:t xml:space="preserve"> and Decision</w:t>
      </w:r>
    </w:p>
    <w:bookmarkEnd w:id="0"/>
    <w:bookmarkEnd w:id="1"/>
    <w:p w14:paraId="43816C19" w14:textId="77777777" w:rsidR="00863A08" w:rsidRPr="0011601D" w:rsidRDefault="002D44AF" w:rsidP="007B19E9">
      <w:pPr>
        <w:pStyle w:val="Heading1"/>
        <w:rPr>
          <w:rFonts w:cs="Arial"/>
        </w:rPr>
      </w:pPr>
      <w:r w:rsidRPr="0011601D">
        <w:rPr>
          <w:rFonts w:cs="Arial"/>
          <w:lang w:eastAsia="zh-TW"/>
        </w:rPr>
        <w:t>Introduction</w:t>
      </w:r>
    </w:p>
    <w:p w14:paraId="1A38FBB9" w14:textId="15A04139" w:rsidR="00984413" w:rsidRPr="005630CB" w:rsidRDefault="001835D6" w:rsidP="005934C4">
      <w:pPr>
        <w:pStyle w:val="BodyText"/>
      </w:pPr>
      <w:r w:rsidRPr="001835D6">
        <w:t xml:space="preserve">A RAN2-led Rel-17 Working Item on Solutions for NR to support non-terrestrial networks (NTN) was revised in RAN Plenary #88e [1]. </w:t>
      </w:r>
      <w:r w:rsidR="00FC197A" w:rsidRPr="00F838C8">
        <w:t>The study item pha</w:t>
      </w:r>
      <w:r w:rsidR="00575BB0" w:rsidRPr="00F838C8">
        <w:t xml:space="preserve">se has identified </w:t>
      </w:r>
      <w:r w:rsidR="004F402C" w:rsidRPr="00F838C8">
        <w:t xml:space="preserve">issues and made recommendations on </w:t>
      </w:r>
      <w:r w:rsidR="0031500B" w:rsidRPr="00F838C8">
        <w:t xml:space="preserve">beam management </w:t>
      </w:r>
      <w:r w:rsidR="004F402C" w:rsidRPr="00F838C8">
        <w:t>in a TP to 3</w:t>
      </w:r>
      <w:r w:rsidR="00FB0773">
        <w:t>8.82</w:t>
      </w:r>
      <w:r w:rsidR="004F402C" w:rsidRPr="00F838C8">
        <w:t xml:space="preserve">1 agreed in RAN1#99 [2]. </w:t>
      </w:r>
      <w:r w:rsidRPr="001835D6">
        <w:t xml:space="preserve">In this contribution, we make observations and proposals to address issues discussed in RAN1#103e and summarized in FL summary #4  for </w:t>
      </w:r>
      <w:r>
        <w:t>Other enhancements of NR NTN</w:t>
      </w:r>
      <w:r w:rsidRPr="001835D6">
        <w:t xml:space="preserve"> [3].</w:t>
      </w:r>
      <w:r w:rsidR="004F402C" w:rsidRPr="00F838C8">
        <w:t xml:space="preserve"> </w:t>
      </w:r>
      <w:bookmarkStart w:id="2" w:name="_Ref481671177"/>
    </w:p>
    <w:p w14:paraId="28ADDE77" w14:textId="22B08623" w:rsidR="00CE2F70" w:rsidRDefault="006C4883" w:rsidP="006C4883">
      <w:pPr>
        <w:pStyle w:val="Heading1"/>
        <w:rPr>
          <w:rFonts w:cs="Arial"/>
        </w:rPr>
      </w:pPr>
      <w:r>
        <w:rPr>
          <w:rFonts w:cs="Arial"/>
        </w:rPr>
        <w:t>A</w:t>
      </w:r>
      <w:r w:rsidRPr="006C4883">
        <w:rPr>
          <w:rFonts w:cs="Arial"/>
        </w:rPr>
        <w:t xml:space="preserve">ssociation of SSBs, beams and BWPs </w:t>
      </w:r>
    </w:p>
    <w:p w14:paraId="308BBBE9" w14:textId="77777777" w:rsidR="006C4883" w:rsidRDefault="006C4883" w:rsidP="006C4883">
      <w:pPr>
        <w:pStyle w:val="BodyText"/>
      </w:pPr>
      <w:r>
        <w:t>The following agreements</w:t>
      </w:r>
      <w:r w:rsidRPr="00BD43AC">
        <w:t xml:space="preserve"> were made </w:t>
      </w:r>
      <w:r>
        <w:t>in RAN1#103e</w:t>
      </w:r>
    </w:p>
    <w:p w14:paraId="7507B884" w14:textId="77777777" w:rsidR="006C4883" w:rsidRPr="006C4883" w:rsidRDefault="006C4883" w:rsidP="006C4883">
      <w:pPr>
        <w:rPr>
          <w:i/>
          <w:lang w:eastAsia="x-none"/>
        </w:rPr>
      </w:pPr>
      <w:r w:rsidRPr="006C4883">
        <w:rPr>
          <w:i/>
          <w:lang w:eastAsia="x-none"/>
        </w:rPr>
        <w:t>One-beam per cell and multiple-beam per cell are supported in existing NR specifications and are baseline for NR NTN.</w:t>
      </w:r>
    </w:p>
    <w:p w14:paraId="443E8BDA" w14:textId="77777777" w:rsidR="006C4883" w:rsidRPr="006C4883" w:rsidRDefault="006C4883" w:rsidP="002B2D98">
      <w:pPr>
        <w:numPr>
          <w:ilvl w:val="0"/>
          <w:numId w:val="4"/>
        </w:numPr>
        <w:spacing w:after="0"/>
        <w:rPr>
          <w:i/>
          <w:lang w:eastAsia="x-none"/>
        </w:rPr>
      </w:pPr>
      <w:r w:rsidRPr="006C4883">
        <w:rPr>
          <w:i/>
          <w:lang w:eastAsia="x-none"/>
        </w:rPr>
        <w:t xml:space="preserve">FFS: The need for potential enhancement for beam management </w:t>
      </w:r>
    </w:p>
    <w:p w14:paraId="2E87F340" w14:textId="77777777" w:rsidR="006C4883" w:rsidRPr="006C4883" w:rsidRDefault="006C4883" w:rsidP="002B2D98">
      <w:pPr>
        <w:numPr>
          <w:ilvl w:val="0"/>
          <w:numId w:val="4"/>
        </w:numPr>
        <w:spacing w:after="0"/>
        <w:rPr>
          <w:i/>
          <w:lang w:eastAsia="x-none"/>
        </w:rPr>
      </w:pPr>
      <w:r w:rsidRPr="006C4883">
        <w:rPr>
          <w:i/>
          <w:lang w:eastAsia="x-none"/>
        </w:rPr>
        <w:t>FFS: The need for potential enhancement on association of SSBs, beams and BWPs</w:t>
      </w:r>
    </w:p>
    <w:p w14:paraId="6916AB0E" w14:textId="77777777" w:rsidR="006C4883" w:rsidRPr="006C4883" w:rsidRDefault="006C4883" w:rsidP="006C4883"/>
    <w:p w14:paraId="4622CEBE" w14:textId="31B01D2F" w:rsidR="00FB0773" w:rsidRDefault="006C4883" w:rsidP="006C4883">
      <w:pPr>
        <w:rPr>
          <w:bCs/>
          <w:lang w:val="en-US"/>
        </w:rPr>
      </w:pPr>
      <w:r w:rsidRPr="006C4883">
        <w:rPr>
          <w:bCs/>
          <w:lang w:val="en-US"/>
        </w:rPr>
        <w:t xml:space="preserve">Rel-15 NR UE uses initial BWP#0 for initial cell access including SSB, paging, and PRACH.  DCI signaling is used to indicate BWP switching.  A device needs first to switch from the serving BWP#x to initial BWP#0, then switch to BWP#Y.  </w:t>
      </w:r>
      <w:r w:rsidR="008E52CB">
        <w:rPr>
          <w:bCs/>
          <w:lang w:val="en-US"/>
        </w:rPr>
        <w:t>There can be up to 4 BWPs configured in Rel-15 NR – i.e.</w:t>
      </w:r>
      <w:r w:rsidR="00060BF8">
        <w:rPr>
          <w:bCs/>
          <w:lang w:val="en-US"/>
        </w:rPr>
        <w:t xml:space="preserve"> BWP#0, BWP#1, BWP#2, and BWP#3</w:t>
      </w:r>
      <w:r w:rsidR="008E52CB">
        <w:rPr>
          <w:bCs/>
          <w:lang w:val="en-US"/>
        </w:rPr>
        <w:t>.</w:t>
      </w:r>
    </w:p>
    <w:p w14:paraId="53DE1AAB" w14:textId="79A6B3F1" w:rsidR="00213EE2" w:rsidRDefault="00213EE2" w:rsidP="00213EE2">
      <w:pPr>
        <w:rPr>
          <w:lang w:eastAsia="zh-CN"/>
        </w:rPr>
      </w:pPr>
      <w:r>
        <w:rPr>
          <w:lang w:eastAsia="zh-CN"/>
        </w:rPr>
        <w:t>There were</w:t>
      </w:r>
      <w:r w:rsidRPr="00F838C8">
        <w:rPr>
          <w:lang w:eastAsia="zh-CN"/>
        </w:rPr>
        <w:t xml:space="preserve"> two options for mapping of PCI and SSB</w:t>
      </w:r>
      <w:r>
        <w:rPr>
          <w:lang w:eastAsia="zh-CN"/>
        </w:rPr>
        <w:t xml:space="preserve"> in TR 38.821 [2].</w:t>
      </w:r>
    </w:p>
    <w:p w14:paraId="0AB1F1BC" w14:textId="470B23D3" w:rsidR="00213EE2" w:rsidRPr="00F838C8" w:rsidRDefault="00213EE2" w:rsidP="002B2D98">
      <w:pPr>
        <w:pStyle w:val="ListParagraph"/>
        <w:numPr>
          <w:ilvl w:val="0"/>
          <w:numId w:val="3"/>
        </w:numPr>
        <w:rPr>
          <w:lang w:eastAsia="zh-CN"/>
        </w:rPr>
      </w:pPr>
      <w:r w:rsidRPr="00A90129">
        <w:rPr>
          <w:u w:val="single"/>
          <w:lang w:eastAsia="zh-CN"/>
        </w:rPr>
        <w:t>Option a</w:t>
      </w:r>
      <w:r w:rsidRPr="00F838C8">
        <w:rPr>
          <w:lang w:eastAsia="zh-CN"/>
        </w:rPr>
        <w:t>: multiple beams per PCI with beam specific SSB.</w:t>
      </w:r>
    </w:p>
    <w:p w14:paraId="67936414" w14:textId="116A21B5" w:rsidR="00213EE2" w:rsidRDefault="00213EE2" w:rsidP="002B2D98">
      <w:pPr>
        <w:pStyle w:val="ListParagraph"/>
        <w:numPr>
          <w:ilvl w:val="0"/>
          <w:numId w:val="3"/>
        </w:numPr>
        <w:rPr>
          <w:lang w:eastAsia="zh-CN"/>
        </w:rPr>
      </w:pPr>
      <w:r w:rsidRPr="00A90129">
        <w:rPr>
          <w:u w:val="single"/>
          <w:lang w:eastAsia="zh-CN"/>
        </w:rPr>
        <w:t>Option b</w:t>
      </w:r>
      <w:r w:rsidRPr="00F838C8">
        <w:rPr>
          <w:lang w:eastAsia="zh-CN"/>
        </w:rPr>
        <w:t>: one beam per PCI</w:t>
      </w:r>
      <w:r>
        <w:rPr>
          <w:lang w:eastAsia="zh-CN"/>
        </w:rPr>
        <w:t>.</w:t>
      </w:r>
    </w:p>
    <w:p w14:paraId="39992C58" w14:textId="77777777" w:rsidR="00213EE2" w:rsidRPr="00213EE2" w:rsidRDefault="00213EE2" w:rsidP="00BC64AD">
      <w:pPr>
        <w:pStyle w:val="ListParagraph"/>
        <w:ind w:left="2424" w:firstLine="132"/>
        <w:rPr>
          <w:rFonts w:ascii="Arial" w:hAnsi="Arial" w:cs="Arial"/>
          <w:lang w:eastAsia="zh-CN"/>
        </w:rPr>
      </w:pPr>
      <w:r w:rsidRPr="0011601D">
        <w:rPr>
          <w:noProof/>
          <w:lang w:val="en-US"/>
        </w:rPr>
        <w:drawing>
          <wp:inline distT="0" distB="0" distL="0" distR="0" wp14:anchorId="73A568A5" wp14:editId="2BAC740F">
            <wp:extent cx="2711817" cy="1740116"/>
            <wp:effectExtent l="0" t="0" r="0" b="0"/>
            <wp:docPr id="7"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 name="Picture 52"/>
                    <pic:cNvPicPr>
                      <a:picLocks noChangeAspect="1"/>
                    </pic:cNvPicPr>
                  </pic:nvPicPr>
                  <pic:blipFill>
                    <a:blip r:embed="rId13"/>
                    <a:stretch>
                      <a:fillRect/>
                    </a:stretch>
                  </pic:blipFill>
                  <pic:spPr>
                    <a:xfrm>
                      <a:off x="0" y="0"/>
                      <a:ext cx="2720732" cy="1745837"/>
                    </a:xfrm>
                    <a:prstGeom prst="rect">
                      <a:avLst/>
                    </a:prstGeom>
                  </pic:spPr>
                </pic:pic>
              </a:graphicData>
            </a:graphic>
          </wp:inline>
        </w:drawing>
      </w:r>
    </w:p>
    <w:p w14:paraId="4447055C" w14:textId="77777777" w:rsidR="00213EE2" w:rsidRPr="00213EE2" w:rsidRDefault="00213EE2" w:rsidP="00BC64AD">
      <w:pPr>
        <w:pStyle w:val="ListParagraph"/>
        <w:ind w:left="2292" w:firstLine="132"/>
        <w:rPr>
          <w:rFonts w:ascii="Arial" w:hAnsi="Arial" w:cs="Arial"/>
          <w:b/>
          <w:i/>
          <w:lang w:eastAsia="zh-CN"/>
        </w:rPr>
      </w:pPr>
      <w:r w:rsidRPr="00213EE2">
        <w:rPr>
          <w:rFonts w:ascii="Arial" w:hAnsi="Arial" w:cs="Arial"/>
          <w:b/>
          <w:i/>
          <w:lang w:eastAsia="zh-CN"/>
        </w:rPr>
        <w:t>Figure 1: Mapping options for PCI/SSBs in NTN</w:t>
      </w:r>
    </w:p>
    <w:p w14:paraId="48071C86" w14:textId="77777777" w:rsidR="00213EE2" w:rsidRDefault="00213EE2" w:rsidP="006C4883">
      <w:pPr>
        <w:rPr>
          <w:bCs/>
          <w:lang w:val="en-US"/>
        </w:rPr>
      </w:pPr>
    </w:p>
    <w:p w14:paraId="6627D48E" w14:textId="0F68AFEC" w:rsidR="00FB0773" w:rsidRDefault="00B039E3" w:rsidP="00F70709">
      <w:pPr>
        <w:pStyle w:val="Heading2"/>
        <w:rPr>
          <w:lang w:val="en-US"/>
        </w:rPr>
      </w:pPr>
      <w:r>
        <w:rPr>
          <w:lang w:val="en-US"/>
        </w:rPr>
        <w:t>C</w:t>
      </w:r>
      <w:r w:rsidR="00F70709" w:rsidRPr="00F70709">
        <w:rPr>
          <w:lang w:val="en-US"/>
        </w:rPr>
        <w:t xml:space="preserve">ell/BWP mapping </w:t>
      </w:r>
    </w:p>
    <w:p w14:paraId="7B21F892" w14:textId="77777777" w:rsidR="00B039E3" w:rsidRDefault="00B039E3" w:rsidP="006C4883">
      <w:pPr>
        <w:rPr>
          <w:bCs/>
          <w:lang w:val="en-US"/>
        </w:rPr>
      </w:pPr>
      <w:r w:rsidRPr="00B039E3">
        <w:rPr>
          <w:bCs/>
          <w:lang w:val="en-US"/>
        </w:rPr>
        <w:t xml:space="preserve">Rel-15 NR UE uses initial BWP#0 for initial cell access including SSB, paging, and PRACH. Each beam is mapped to a BWP. As in Rel-15 NR, time-multiplexed SSB transmissions, COREST#0, and SIB1 are in the initial BWP#0 in the same frequency interval. UE determines the SSB index in time by measuring the SSB mapped to the best beam, obtain the time multiplexing pattern and resource blocks in MIB on PBCCH for the corresponding CORESET#0, decode the </w:t>
      </w:r>
      <w:r w:rsidRPr="00B039E3">
        <w:rPr>
          <w:bCs/>
          <w:lang w:val="en-US"/>
        </w:rPr>
        <w:lastRenderedPageBreak/>
        <w:t>SIB1 to get configuration for CORESET type 0A (for SI acquisition), type 1 (for RAR and CR), type 2 (for paging) and get the UE-specific CORESET configuration. UE does not require retuning of frequency in the device. DCI signaling is used to indicate BWP switching, where the BWP switching in UL and DL is separately configured.  UE needs first to switch from the serving BWP#x to initial BWP#0, then switch to BWP#Y. UE can fall back to initial BWP#0 if the switching fails. There can be up to 4 BWPs configured in Rel-15 NR – i.e. BWP#0, BWP#1, BWP#2, and BWP#3.</w:t>
      </w:r>
    </w:p>
    <w:p w14:paraId="6CAFE705" w14:textId="77777777" w:rsidR="00B039E3" w:rsidRDefault="00060BF8" w:rsidP="00B039E3">
      <w:pPr>
        <w:rPr>
          <w:bCs/>
          <w:lang w:val="en-US"/>
        </w:rPr>
      </w:pPr>
      <w:r>
        <w:rPr>
          <w:bCs/>
          <w:lang w:val="en-US"/>
        </w:rPr>
        <w:t xml:space="preserve">Figure 2 </w:t>
      </w:r>
      <w:r w:rsidR="00B039E3">
        <w:rPr>
          <w:bCs/>
          <w:lang w:val="en-US"/>
        </w:rPr>
        <w:t>(a) illustrates umbrella beam and narrow beam layout.</w:t>
      </w:r>
      <w:r w:rsidR="00B039E3" w:rsidRPr="00B039E3">
        <w:t xml:space="preserve"> </w:t>
      </w:r>
      <w:r w:rsidR="00B039E3" w:rsidRPr="00B039E3">
        <w:rPr>
          <w:bCs/>
          <w:lang w:val="en-US"/>
        </w:rPr>
        <w:t>Configure a wider beam with initial BWP#0 with a single spot beam or multiple smaller spot beams each associated with a BWP de</w:t>
      </w:r>
      <w:r w:rsidR="00B039E3">
        <w:rPr>
          <w:bCs/>
          <w:lang w:val="en-US"/>
        </w:rPr>
        <w:t xml:space="preserve">dicated for data transmission. </w:t>
      </w:r>
      <w:r w:rsidR="00B039E3" w:rsidRPr="00B039E3">
        <w:rPr>
          <w:bCs/>
          <w:lang w:val="en-US"/>
        </w:rPr>
        <w:t xml:space="preserve">There is one Physical Cell Identity mapped to the </w:t>
      </w:r>
      <w:r w:rsidR="00B039E3">
        <w:rPr>
          <w:bCs/>
          <w:lang w:val="en-US"/>
        </w:rPr>
        <w:t>satellite cell</w:t>
      </w:r>
      <w:r w:rsidR="00B039E3" w:rsidRPr="00B039E3">
        <w:rPr>
          <w:bCs/>
          <w:lang w:val="en-US"/>
        </w:rPr>
        <w:t xml:space="preserve">. </w:t>
      </w:r>
    </w:p>
    <w:p w14:paraId="50C1669A" w14:textId="08CF2282" w:rsidR="00B039E3" w:rsidRPr="00B039E3" w:rsidRDefault="00B039E3" w:rsidP="00B039E3">
      <w:pPr>
        <w:rPr>
          <w:bCs/>
          <w:lang w:val="en-US"/>
        </w:rPr>
      </w:pPr>
      <w:r>
        <w:rPr>
          <w:bCs/>
          <w:lang w:val="en-US"/>
        </w:rPr>
        <w:t xml:space="preserve">Figure 2 (b) illustrates narrow beams only where each beam is configured with initial BWP#0 and dedicated BPW#1,2,3. </w:t>
      </w:r>
      <w:r w:rsidRPr="00B039E3">
        <w:rPr>
          <w:bCs/>
          <w:lang w:val="en-US"/>
        </w:rPr>
        <w:t xml:space="preserve">There is one Physical Cell Identity mapped </w:t>
      </w:r>
      <w:r>
        <w:rPr>
          <w:bCs/>
          <w:lang w:val="en-US"/>
        </w:rPr>
        <w:t xml:space="preserve">per beam spot. Both </w:t>
      </w:r>
      <w:r w:rsidRPr="00B039E3">
        <w:rPr>
          <w:bCs/>
          <w:lang w:val="en-US"/>
        </w:rPr>
        <w:t>option</w:t>
      </w:r>
      <w:r>
        <w:rPr>
          <w:bCs/>
          <w:lang w:val="en-US"/>
        </w:rPr>
        <w:t>s allow</w:t>
      </w:r>
      <w:r w:rsidRPr="00B039E3">
        <w:rPr>
          <w:bCs/>
          <w:lang w:val="en-US"/>
        </w:rPr>
        <w:t xml:space="preserve"> to re-use Rel-15 Beam management and BWP mechanisms. </w:t>
      </w:r>
    </w:p>
    <w:p w14:paraId="36F0AAE5" w14:textId="7C21DC26" w:rsidR="007C4780" w:rsidRDefault="007C4780" w:rsidP="007C4780">
      <w:pPr>
        <w:rPr>
          <w:bCs/>
          <w:lang w:val="en-US"/>
        </w:rPr>
      </w:pPr>
      <w:r w:rsidRPr="007C4780">
        <w:rPr>
          <w:bCs/>
          <w:noProof/>
          <w:lang w:val="en-US"/>
        </w:rPr>
        <mc:AlternateContent>
          <mc:Choice Requires="wps">
            <w:drawing>
              <wp:anchor distT="45720" distB="45720" distL="114300" distR="114300" simplePos="0" relativeHeight="251659264" behindDoc="0" locked="0" layoutInCell="1" allowOverlap="1" wp14:anchorId="36EDA1F1" wp14:editId="7F385411">
                <wp:simplePos x="0" y="0"/>
                <wp:positionH relativeFrom="column">
                  <wp:posOffset>1299845</wp:posOffset>
                </wp:positionH>
                <wp:positionV relativeFrom="paragraph">
                  <wp:posOffset>180975</wp:posOffset>
                </wp:positionV>
                <wp:extent cx="3213735" cy="1995170"/>
                <wp:effectExtent l="0" t="0" r="24765" b="2413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13735" cy="1995170"/>
                        </a:xfrm>
                        <a:prstGeom prst="rect">
                          <a:avLst/>
                        </a:prstGeom>
                        <a:solidFill>
                          <a:srgbClr val="FFFFFF"/>
                        </a:solidFill>
                        <a:ln w="9525">
                          <a:solidFill>
                            <a:srgbClr val="000000"/>
                          </a:solidFill>
                          <a:miter lim="800000"/>
                          <a:headEnd/>
                          <a:tailEnd/>
                        </a:ln>
                      </wps:spPr>
                      <wps:txbx>
                        <w:txbxContent>
                          <w:p w14:paraId="282B496C" w14:textId="1DDFF28B" w:rsidR="007C4780" w:rsidRDefault="00B039E3">
                            <w:r w:rsidRPr="00B039E3">
                              <w:rPr>
                                <w:noProof/>
                                <w:lang w:val="en-US"/>
                              </w:rPr>
                              <w:drawing>
                                <wp:inline distT="0" distB="0" distL="0" distR="0" wp14:anchorId="2DAE6248" wp14:editId="28813060">
                                  <wp:extent cx="3063827" cy="1824037"/>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080370" cy="1833886"/>
                                          </a:xfrm>
                                          <a:prstGeom prst="rect">
                                            <a:avLst/>
                                          </a:prstGeom>
                                          <a:noFill/>
                                          <a:ln>
                                            <a:noFill/>
                                          </a:ln>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6EDA1F1" id="_x0000_t202" coordsize="21600,21600" o:spt="202" path="m,l,21600r21600,l21600,xe">
                <v:stroke joinstyle="miter"/>
                <v:path gradientshapeok="t" o:connecttype="rect"/>
              </v:shapetype>
              <v:shape id="Text Box 2" o:spid="_x0000_s1026" type="#_x0000_t202" style="position:absolute;margin-left:102.35pt;margin-top:14.25pt;width:253.05pt;height:157.1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1oaBJgIAAEcEAAAOAAAAZHJzL2Uyb0RvYy54bWysU9uO2yAQfa/Uf0C8N46dpNlYcVbbbFNV&#10;2l6k3X4AxjhGBYYCib39+h1wNo227UtVHhDDDIeZc2bW14NW5Cicl2Aqmk+mlAjDoZFmX9FvD7s3&#10;V5T4wEzDFBhR0Ufh6fXm9at1b0tRQAeqEY4giPFlbyvahWDLLPO8E5r5CVhh0NmC0yyg6fZZ41iP&#10;6FplxXT6NuvBNdYBF97j7e3opJuE37aChy9t60UgqqKYW0i7S3sd92yzZuXeMdtJfkqD/UMWmkmD&#10;n56hbllg5ODkb1Bacgce2jDhoDNoW8lFqgGryacvqrnvmBWpFiTH2zNN/v/B8s/Hr47IpqJFvqTE&#10;MI0iPYghkHcwkCLy01tfYti9xcAw4DXqnGr19g74d08MbDtm9uLGOeg7wRrML48vs4unI46PIHX/&#10;CRr8hh0CJKChdTqSh3QQREedHs/axFQ4Xs6KfLacLSjh6MtXq0W+TOplrHx+bp0PHwRoEg8VdSh+&#10;gmfHOx9iOqx8Dom/eVCy2UmlkuH29VY5cmTYKLu0UgUvwpQhfUVXi2IxMvBXiGlaf4LQMmDHK6kr&#10;enUOYmXk7b1pUj8GJtV4xpSVOREZuRtZDEM9nISpoXlESh2MnY2TiIcO3E9KeuzqivofB+YEJeqj&#10;QVlW+XwexyAZ88WyQMNdeupLDzMcoSoaKBmP25BGJxJm4Abla2UiNuo8ZnLKFbs18X2arDgOl3aK&#10;+jX/mycAAAD//wMAUEsDBBQABgAIAAAAIQAWhfl+4AAAAAoBAAAPAAAAZHJzL2Rvd25yZXYueG1s&#10;TI/BTsMwDIbvSLxDZCQuiCXrylpK0wkhgeAGA8E1a7K2InFKknXl7TEnuNnyp9/fX29mZ9lkQhw8&#10;SlguBDCDrdcDdhLeXu8vS2AxKdTKejQSvk2ETXN6UqtK+yO+mGmbOkYhGCsloU9prDiPbW+cigs/&#10;GqTb3genEq2h4zqoI4U7yzMh1typAelDr0Zz15v2c3twEsr8cfqIT6vn93a9t9fpopgevoKU52fz&#10;7Q2wZOb0B8OvPqlDQ047f0AdmZWQibwglIbyChgBxVJQl52EVZ4VwJua/6/Q/AAAAP//AwBQSwEC&#10;LQAUAAYACAAAACEAtoM4kv4AAADhAQAAEwAAAAAAAAAAAAAAAAAAAAAAW0NvbnRlbnRfVHlwZXNd&#10;LnhtbFBLAQItABQABgAIAAAAIQA4/SH/1gAAAJQBAAALAAAAAAAAAAAAAAAAAC8BAABfcmVscy8u&#10;cmVsc1BLAQItABQABgAIAAAAIQAN1oaBJgIAAEcEAAAOAAAAAAAAAAAAAAAAAC4CAABkcnMvZTJv&#10;RG9jLnhtbFBLAQItABQABgAIAAAAIQAWhfl+4AAAAAoBAAAPAAAAAAAAAAAAAAAAAIAEAABkcnMv&#10;ZG93bnJldi54bWxQSwUGAAAAAAQABADzAAAAjQUAAAAA&#10;">
                <v:textbox>
                  <w:txbxContent>
                    <w:p w14:paraId="282B496C" w14:textId="1DDFF28B" w:rsidR="007C4780" w:rsidRDefault="00B039E3">
                      <w:r w:rsidRPr="00B039E3">
                        <w:drawing>
                          <wp:inline distT="0" distB="0" distL="0" distR="0" wp14:anchorId="2DAE6248" wp14:editId="28813060">
                            <wp:extent cx="3063827" cy="1824037"/>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080370" cy="1833886"/>
                                    </a:xfrm>
                                    <a:prstGeom prst="rect">
                                      <a:avLst/>
                                    </a:prstGeom>
                                    <a:noFill/>
                                    <a:ln>
                                      <a:noFill/>
                                    </a:ln>
                                  </pic:spPr>
                                </pic:pic>
                              </a:graphicData>
                            </a:graphic>
                          </wp:inline>
                        </w:drawing>
                      </w:r>
                    </w:p>
                  </w:txbxContent>
                </v:textbox>
                <w10:wrap type="square"/>
              </v:shape>
            </w:pict>
          </mc:Fallback>
        </mc:AlternateContent>
      </w:r>
    </w:p>
    <w:p w14:paraId="3A079684" w14:textId="77777777" w:rsidR="007C4780" w:rsidRDefault="007C4780" w:rsidP="00A47F4B">
      <w:pPr>
        <w:jc w:val="center"/>
        <w:rPr>
          <w:bCs/>
          <w:lang w:val="en-US"/>
        </w:rPr>
      </w:pPr>
    </w:p>
    <w:p w14:paraId="519E6198" w14:textId="77777777" w:rsidR="007C4780" w:rsidRDefault="007C4780" w:rsidP="00A47F4B">
      <w:pPr>
        <w:jc w:val="center"/>
        <w:rPr>
          <w:bCs/>
          <w:lang w:val="en-US"/>
        </w:rPr>
      </w:pPr>
    </w:p>
    <w:p w14:paraId="247E845F" w14:textId="77777777" w:rsidR="007C4780" w:rsidRDefault="007C4780" w:rsidP="00A47F4B">
      <w:pPr>
        <w:jc w:val="center"/>
        <w:rPr>
          <w:bCs/>
          <w:lang w:val="en-US"/>
        </w:rPr>
      </w:pPr>
    </w:p>
    <w:p w14:paraId="16661A0B" w14:textId="77777777" w:rsidR="007C4780" w:rsidRDefault="007C4780" w:rsidP="00A47F4B">
      <w:pPr>
        <w:jc w:val="center"/>
        <w:rPr>
          <w:bCs/>
          <w:lang w:val="en-US"/>
        </w:rPr>
      </w:pPr>
    </w:p>
    <w:p w14:paraId="24A8F3CD" w14:textId="77777777" w:rsidR="007C4780" w:rsidRDefault="007C4780" w:rsidP="00A47F4B">
      <w:pPr>
        <w:jc w:val="center"/>
        <w:rPr>
          <w:bCs/>
          <w:lang w:val="en-US"/>
        </w:rPr>
      </w:pPr>
    </w:p>
    <w:p w14:paraId="009DB74C" w14:textId="77777777" w:rsidR="007C4780" w:rsidRDefault="007C4780" w:rsidP="00A47F4B">
      <w:pPr>
        <w:jc w:val="center"/>
        <w:rPr>
          <w:bCs/>
          <w:lang w:val="en-US"/>
        </w:rPr>
      </w:pPr>
    </w:p>
    <w:p w14:paraId="40E3BEF7" w14:textId="77777777" w:rsidR="007C4780" w:rsidRDefault="007C4780" w:rsidP="00A47F4B">
      <w:pPr>
        <w:jc w:val="center"/>
        <w:rPr>
          <w:b/>
          <w:bCs/>
          <w:i/>
          <w:lang w:val="en-US"/>
        </w:rPr>
      </w:pPr>
    </w:p>
    <w:p w14:paraId="3351D02A" w14:textId="77777777" w:rsidR="00B039E3" w:rsidRDefault="00B039E3" w:rsidP="00A47F4B">
      <w:pPr>
        <w:jc w:val="center"/>
        <w:rPr>
          <w:b/>
          <w:bCs/>
          <w:i/>
          <w:lang w:val="en-US"/>
        </w:rPr>
      </w:pPr>
    </w:p>
    <w:p w14:paraId="399DA072" w14:textId="77777777" w:rsidR="00A47F4B" w:rsidRPr="003848DB" w:rsidRDefault="00A47F4B" w:rsidP="00A47F4B">
      <w:pPr>
        <w:jc w:val="center"/>
        <w:rPr>
          <w:b/>
          <w:bCs/>
          <w:i/>
          <w:lang w:val="en-US"/>
        </w:rPr>
      </w:pPr>
      <w:r w:rsidRPr="003848DB">
        <w:rPr>
          <w:b/>
          <w:bCs/>
          <w:i/>
          <w:lang w:val="en-US"/>
        </w:rPr>
        <w:t>Figure 2: Anchor beam transmitting BWP#0</w:t>
      </w:r>
    </w:p>
    <w:p w14:paraId="03DCB9E9" w14:textId="77777777" w:rsidR="00B039E3" w:rsidRDefault="00B039E3" w:rsidP="00B039E3">
      <w:pPr>
        <w:rPr>
          <w:bCs/>
          <w:lang w:val="en-US"/>
        </w:rPr>
      </w:pPr>
    </w:p>
    <w:p w14:paraId="45D4D765" w14:textId="7160E68D" w:rsidR="00B039E3" w:rsidRDefault="00BB5B8E" w:rsidP="00B039E3">
      <w:pPr>
        <w:pStyle w:val="Heading3"/>
        <w:rPr>
          <w:lang w:val="en-US"/>
        </w:rPr>
      </w:pPr>
      <w:r>
        <w:rPr>
          <w:lang w:val="en-US"/>
        </w:rPr>
        <w:t xml:space="preserve">Beam layout with wider </w:t>
      </w:r>
      <w:r w:rsidR="00B039E3" w:rsidRPr="00B039E3">
        <w:rPr>
          <w:lang w:val="en-US"/>
        </w:rPr>
        <w:t xml:space="preserve">beam </w:t>
      </w:r>
      <w:r>
        <w:rPr>
          <w:lang w:val="en-US"/>
        </w:rPr>
        <w:t xml:space="preserve">for access </w:t>
      </w:r>
      <w:r w:rsidR="00B039E3" w:rsidRPr="00B039E3">
        <w:rPr>
          <w:lang w:val="en-US"/>
        </w:rPr>
        <w:t>and narrow beam</w:t>
      </w:r>
      <w:r>
        <w:rPr>
          <w:lang w:val="en-US"/>
        </w:rPr>
        <w:t xml:space="preserve"> for data</w:t>
      </w:r>
      <w:r w:rsidR="00B039E3" w:rsidRPr="00B039E3">
        <w:rPr>
          <w:lang w:val="en-US"/>
        </w:rPr>
        <w:t xml:space="preserve"> </w:t>
      </w:r>
    </w:p>
    <w:p w14:paraId="11580D8F" w14:textId="77777777" w:rsidR="00B039E3" w:rsidRDefault="00B039E3" w:rsidP="00B039E3">
      <w:pPr>
        <w:rPr>
          <w:bCs/>
          <w:lang w:val="en-US"/>
        </w:rPr>
      </w:pPr>
      <w:r w:rsidRPr="00B039E3">
        <w:rPr>
          <w:bCs/>
          <w:lang w:val="en-US"/>
        </w:rPr>
        <w:t>Cell-specific System Information is broadcast on wi</w:t>
      </w:r>
      <w:r>
        <w:rPr>
          <w:bCs/>
          <w:lang w:val="en-US"/>
        </w:rPr>
        <w:t xml:space="preserve">der beam for access. </w:t>
      </w:r>
      <w:r w:rsidRPr="00B039E3">
        <w:rPr>
          <w:bCs/>
          <w:lang w:val="en-US"/>
        </w:rPr>
        <w:t>At SNR &lt; 0 dB, the interference in C/(N+I) is not a dominant issue and FRF=1 on wider beam for access could be used. For data, assuming SNR &gt; 0dB for high spectral efficiency FRF = 3 could be used to mitigate interference. C/N(access)  can be lower than C/N(data)</w:t>
      </w:r>
      <w:r>
        <w:rPr>
          <w:bCs/>
          <w:lang w:val="en-US"/>
        </w:rPr>
        <w:t xml:space="preserve">. </w:t>
      </w:r>
      <w:r w:rsidRPr="00B039E3">
        <w:rPr>
          <w:bCs/>
          <w:lang w:val="en-US"/>
        </w:rPr>
        <w:t>Using FRF=1 instead of FRF=3 on wider beam reduces the total number of carriers needed to support access on wider beam and data on narrow beam – e.g. N=7 requires 4 carriers instead of 6 carriers.</w:t>
      </w:r>
      <w:r>
        <w:rPr>
          <w:bCs/>
          <w:lang w:val="en-US"/>
        </w:rPr>
        <w:t xml:space="preserve"> In Rel-15 NR</w:t>
      </w:r>
      <w:r w:rsidRPr="00B039E3">
        <w:rPr>
          <w:bCs/>
          <w:lang w:val="en-US"/>
        </w:rPr>
        <w:t xml:space="preserve">, SSBs </w:t>
      </w:r>
      <w:r>
        <w:rPr>
          <w:bCs/>
          <w:lang w:val="en-US"/>
        </w:rPr>
        <w:t>can be</w:t>
      </w:r>
      <w:r w:rsidRPr="00B039E3">
        <w:rPr>
          <w:bCs/>
          <w:lang w:val="en-US"/>
        </w:rPr>
        <w:t xml:space="preserve"> transmit</w:t>
      </w:r>
      <w:r>
        <w:rPr>
          <w:bCs/>
          <w:lang w:val="en-US"/>
        </w:rPr>
        <w:t xml:space="preserve">ted on a set of broader beams, </w:t>
      </w:r>
      <w:r w:rsidRPr="00B039E3">
        <w:rPr>
          <w:bCs/>
          <w:lang w:val="en-US"/>
        </w:rPr>
        <w:t>and CSI-RS are transmitted on narrow beams. The UE first sync</w:t>
      </w:r>
      <w:r>
        <w:rPr>
          <w:bCs/>
          <w:lang w:val="en-US"/>
        </w:rPr>
        <w:t>hronizes</w:t>
      </w:r>
      <w:r w:rsidRPr="00B039E3">
        <w:rPr>
          <w:bCs/>
          <w:lang w:val="en-US"/>
        </w:rPr>
        <w:t xml:space="preserve"> on wider beam, get</w:t>
      </w:r>
      <w:r>
        <w:rPr>
          <w:bCs/>
          <w:lang w:val="en-US"/>
        </w:rPr>
        <w:t>s</w:t>
      </w:r>
      <w:r w:rsidRPr="00B039E3">
        <w:rPr>
          <w:bCs/>
          <w:lang w:val="en-US"/>
        </w:rPr>
        <w:t xml:space="preserve"> config</w:t>
      </w:r>
      <w:r>
        <w:rPr>
          <w:bCs/>
          <w:lang w:val="en-US"/>
        </w:rPr>
        <w:t>uration</w:t>
      </w:r>
      <w:r w:rsidRPr="00B039E3">
        <w:rPr>
          <w:bCs/>
          <w:lang w:val="en-US"/>
        </w:rPr>
        <w:t xml:space="preserve"> of narrow beams, measure</w:t>
      </w:r>
      <w:r>
        <w:rPr>
          <w:bCs/>
          <w:lang w:val="en-US"/>
        </w:rPr>
        <w:t>s</w:t>
      </w:r>
      <w:r w:rsidRPr="00B039E3">
        <w:rPr>
          <w:bCs/>
          <w:lang w:val="en-US"/>
        </w:rPr>
        <w:t xml:space="preserve"> and report</w:t>
      </w:r>
      <w:r>
        <w:rPr>
          <w:bCs/>
          <w:lang w:val="en-US"/>
        </w:rPr>
        <w:t xml:space="preserve">s </w:t>
      </w:r>
      <w:r w:rsidRPr="00B039E3">
        <w:rPr>
          <w:bCs/>
          <w:lang w:val="en-US"/>
        </w:rPr>
        <w:t xml:space="preserve">CSI-RS on narrow beam. Then, as indicated </w:t>
      </w:r>
      <w:r>
        <w:rPr>
          <w:bCs/>
          <w:lang w:val="en-US"/>
        </w:rPr>
        <w:t xml:space="preserve">via DCI, UE can switch </w:t>
      </w:r>
      <w:r w:rsidRPr="00B039E3">
        <w:rPr>
          <w:bCs/>
          <w:lang w:val="en-US"/>
        </w:rPr>
        <w:t xml:space="preserve">to narrow beam. </w:t>
      </w:r>
      <w:r>
        <w:rPr>
          <w:bCs/>
          <w:lang w:val="en-US"/>
        </w:rPr>
        <w:t xml:space="preserve"> In NR NTN, t</w:t>
      </w:r>
      <w:r w:rsidRPr="00B039E3">
        <w:rPr>
          <w:bCs/>
          <w:lang w:val="en-US"/>
        </w:rPr>
        <w:t>here can be SSB on wider beam and  CSI-RS for narrow beams; or just SSBs for narrow beams and no wider beam;  or SSB on some wider beams within the satellite cell and CSI-RS on narrow beams; or SSB on a wider beam = cell and SSBs on narrow beams.</w:t>
      </w:r>
    </w:p>
    <w:p w14:paraId="38686215" w14:textId="1F8E2928" w:rsidR="00B039E3" w:rsidRPr="00B039E3" w:rsidRDefault="00B039E3" w:rsidP="00B039E3">
      <w:pPr>
        <w:rPr>
          <w:bCs/>
          <w:lang w:val="en-US"/>
        </w:rPr>
      </w:pPr>
      <w:r w:rsidRPr="00B039E3">
        <w:rPr>
          <w:bCs/>
          <w:lang w:val="en-US"/>
        </w:rPr>
        <w:t>Total EIRP budget needs is split between the wi</w:t>
      </w:r>
      <w:r>
        <w:rPr>
          <w:bCs/>
          <w:lang w:val="en-US"/>
        </w:rPr>
        <w:t>der beam and the narrow beams. The L1 and</w:t>
      </w:r>
      <w:r w:rsidRPr="00B039E3">
        <w:rPr>
          <w:bCs/>
          <w:lang w:val="en-US"/>
        </w:rPr>
        <w:t xml:space="preserve"> SI overhead for access of car</w:t>
      </w:r>
      <w:r w:rsidR="00CD1ED5">
        <w:rPr>
          <w:bCs/>
          <w:lang w:val="en-US"/>
        </w:rPr>
        <w:t xml:space="preserve">rier in wide beam spot </w:t>
      </w:r>
      <w:r w:rsidRPr="00B039E3">
        <w:rPr>
          <w:bCs/>
          <w:lang w:val="en-US"/>
        </w:rPr>
        <w:t>scales by 1/(N+1), where N is the number of narrow bean spots per cell</w:t>
      </w:r>
      <w:r>
        <w:rPr>
          <w:bCs/>
          <w:lang w:val="en-US"/>
        </w:rPr>
        <w:t>. We denote w</w:t>
      </w:r>
      <w:r w:rsidRPr="00B039E3">
        <w:rPr>
          <w:bCs/>
          <w:lang w:val="en-US"/>
        </w:rPr>
        <w:t>ide beam Antenna Gain = G, Narrow beams Antenna Gain = G + 10log(N)</w:t>
      </w:r>
      <w:r>
        <w:rPr>
          <w:bCs/>
          <w:lang w:val="en-US"/>
        </w:rPr>
        <w:t>, s</w:t>
      </w:r>
      <w:r w:rsidRPr="00B039E3">
        <w:rPr>
          <w:bCs/>
          <w:lang w:val="en-US"/>
        </w:rPr>
        <w:t>atellite amplifier output power Pout(dB)</w:t>
      </w:r>
      <w:r>
        <w:rPr>
          <w:bCs/>
          <w:lang w:val="en-US"/>
        </w:rPr>
        <w:t>. We have</w:t>
      </w:r>
    </w:p>
    <w:p w14:paraId="1787986D" w14:textId="77777777" w:rsidR="00B039E3" w:rsidRPr="00B039E3" w:rsidRDefault="00B039E3" w:rsidP="00B039E3">
      <w:pPr>
        <w:pStyle w:val="ListParagraph"/>
        <w:numPr>
          <w:ilvl w:val="0"/>
          <w:numId w:val="9"/>
        </w:numPr>
        <w:rPr>
          <w:bCs/>
          <w:lang w:val="en-US"/>
        </w:rPr>
      </w:pPr>
      <w:r w:rsidRPr="00B039E3">
        <w:rPr>
          <w:bCs/>
          <w:lang w:val="en-US"/>
        </w:rPr>
        <w:t>Satellite EIRP=Pout*G, Wide beam EIRP = EIRP – 10*log(N+1), Narrow beam EIRP = EIRP + 10*log(N/[N+1])</w:t>
      </w:r>
    </w:p>
    <w:p w14:paraId="7A0CE343" w14:textId="47EF3B14" w:rsidR="00B039E3" w:rsidRPr="00B039E3" w:rsidRDefault="00B039E3" w:rsidP="00B039E3">
      <w:pPr>
        <w:pStyle w:val="ListParagraph"/>
        <w:numPr>
          <w:ilvl w:val="0"/>
          <w:numId w:val="9"/>
        </w:numPr>
        <w:rPr>
          <w:bCs/>
          <w:lang w:val="en-US"/>
        </w:rPr>
      </w:pPr>
      <w:r w:rsidRPr="00B039E3">
        <w:rPr>
          <w:bCs/>
          <w:lang w:val="en-US"/>
        </w:rPr>
        <w:t>Satellite C/N, Wide beam C/N = C/N – 10*log(N+1), Narrow beam C/N = C/N + 10*log(N/[N+1])</w:t>
      </w:r>
    </w:p>
    <w:p w14:paraId="4EFE1859" w14:textId="057A6B8D" w:rsidR="00B039E3" w:rsidRPr="00B039E3" w:rsidRDefault="00B039E3" w:rsidP="00B039E3">
      <w:pPr>
        <w:rPr>
          <w:bCs/>
          <w:lang w:val="en-US"/>
        </w:rPr>
      </w:pPr>
      <w:r>
        <w:rPr>
          <w:bCs/>
          <w:lang w:val="en-US"/>
        </w:rPr>
        <w:t xml:space="preserve">Consider an example using TR 38.821 Set 1 parameters with </w:t>
      </w:r>
      <w:r>
        <w:rPr>
          <w:rFonts w:hint="eastAsia"/>
          <w:bCs/>
          <w:lang w:val="en-US"/>
        </w:rPr>
        <w:t>EIRP density=34 dBW/MHz</w:t>
      </w:r>
      <w:r w:rsidR="006C23F8">
        <w:rPr>
          <w:bCs/>
          <w:lang w:val="en-US"/>
        </w:rPr>
        <w:t xml:space="preserve">, </w:t>
      </w:r>
      <w:r>
        <w:rPr>
          <w:bCs/>
          <w:lang w:val="en-US"/>
        </w:rPr>
        <w:t xml:space="preserve">Bandwidth=10 MHz, </w:t>
      </w:r>
      <w:r w:rsidR="006C23F8">
        <w:rPr>
          <w:bCs/>
          <w:lang w:val="en-US"/>
        </w:rPr>
        <w:t xml:space="preserve">N=7 narrow beam spots for data per cell, 1 wide beam spot for access, </w:t>
      </w:r>
      <w:r w:rsidRPr="00B039E3">
        <w:rPr>
          <w:rFonts w:hint="eastAsia"/>
          <w:bCs/>
          <w:lang w:val="en-US"/>
        </w:rPr>
        <w:t xml:space="preserve">EIRP per narrow spot = </w:t>
      </w:r>
      <w:r>
        <w:rPr>
          <w:bCs/>
          <w:lang w:val="en-US"/>
        </w:rPr>
        <w:t>44</w:t>
      </w:r>
      <w:r>
        <w:rPr>
          <w:rFonts w:hint="eastAsia"/>
          <w:bCs/>
          <w:lang w:val="en-US"/>
        </w:rPr>
        <w:t xml:space="preserve"> dBW = 74</w:t>
      </w:r>
      <w:r w:rsidRPr="00B039E3">
        <w:rPr>
          <w:rFonts w:hint="eastAsia"/>
          <w:bCs/>
          <w:lang w:val="en-US"/>
        </w:rPr>
        <w:t xml:space="preserve"> dBm, P=</w:t>
      </w:r>
      <w:r>
        <w:rPr>
          <w:bCs/>
          <w:lang w:val="en-US"/>
        </w:rPr>
        <w:t>25.2 W</w:t>
      </w:r>
      <w:r w:rsidRPr="00B039E3">
        <w:rPr>
          <w:rFonts w:hint="eastAsia"/>
          <w:bCs/>
          <w:lang w:val="en-US"/>
        </w:rPr>
        <w:t>, TX ant gain G=</w:t>
      </w:r>
      <w:r>
        <w:rPr>
          <w:bCs/>
          <w:lang w:val="en-US"/>
        </w:rPr>
        <w:t>30</w:t>
      </w:r>
      <w:r w:rsidRPr="00B039E3">
        <w:rPr>
          <w:rFonts w:hint="eastAsia"/>
          <w:bCs/>
          <w:lang w:val="en-US"/>
        </w:rPr>
        <w:t xml:space="preserve"> d</w:t>
      </w:r>
      <w:r>
        <w:rPr>
          <w:rFonts w:hint="eastAsia"/>
          <w:bCs/>
          <w:lang w:val="en-US"/>
        </w:rPr>
        <w:t>Bi  on narrow beam. Assume satellite target C/N = 6</w:t>
      </w:r>
      <w:r w:rsidRPr="00B039E3">
        <w:rPr>
          <w:rFonts w:hint="eastAsia"/>
          <w:bCs/>
          <w:lang w:val="en-US"/>
        </w:rPr>
        <w:t xml:space="preserve"> dB without wide beam, then re-calculate C/N with wide beam</w:t>
      </w:r>
      <w:r w:rsidR="006C23F8">
        <w:rPr>
          <w:bCs/>
          <w:lang w:val="en-US"/>
        </w:rPr>
        <w:t>.</w:t>
      </w:r>
      <w:r w:rsidRPr="00B039E3">
        <w:rPr>
          <w:rFonts w:hint="eastAsia"/>
          <w:bCs/>
          <w:lang w:val="en-US"/>
        </w:rPr>
        <w:t xml:space="preserve">  </w:t>
      </w:r>
    </w:p>
    <w:p w14:paraId="04F8F763" w14:textId="13279231" w:rsidR="00B039E3" w:rsidRPr="00B039E3" w:rsidRDefault="00B039E3" w:rsidP="00B039E3">
      <w:pPr>
        <w:pStyle w:val="ListParagraph"/>
        <w:numPr>
          <w:ilvl w:val="0"/>
          <w:numId w:val="10"/>
        </w:numPr>
        <w:rPr>
          <w:bCs/>
          <w:lang w:val="en-US"/>
        </w:rPr>
      </w:pPr>
      <w:r>
        <w:rPr>
          <w:bCs/>
          <w:lang w:val="en-US"/>
        </w:rPr>
        <w:lastRenderedPageBreak/>
        <w:t>N=7, P(total)=(7+1) *25.2 W= 201.6</w:t>
      </w:r>
      <w:r w:rsidRPr="00B039E3">
        <w:rPr>
          <w:bCs/>
          <w:lang w:val="en-US"/>
        </w:rPr>
        <w:t xml:space="preserve"> W, P(access)=</w:t>
      </w:r>
      <w:r>
        <w:rPr>
          <w:bCs/>
          <w:lang w:val="en-US"/>
        </w:rPr>
        <w:t xml:space="preserve">25.2 </w:t>
      </w:r>
      <w:r w:rsidRPr="00B039E3">
        <w:rPr>
          <w:bCs/>
          <w:lang w:val="en-US"/>
        </w:rPr>
        <w:t>W, P(data)=</w:t>
      </w:r>
      <w:r>
        <w:rPr>
          <w:bCs/>
          <w:lang w:val="en-US"/>
        </w:rPr>
        <w:t xml:space="preserve">25.2 </w:t>
      </w:r>
      <w:r w:rsidRPr="00B039E3">
        <w:rPr>
          <w:bCs/>
          <w:lang w:val="en-US"/>
        </w:rPr>
        <w:t>W, EIRP(data)=EIRP+10*log(7/(7+1)=EIRP-0.58 dB, EIRP(access)=EIRP-10*log(7+1)=EIRP-9.03 dB, C/N(data)=</w:t>
      </w:r>
      <w:r>
        <w:rPr>
          <w:bCs/>
          <w:lang w:val="en-US"/>
        </w:rPr>
        <w:t xml:space="preserve">6 dB </w:t>
      </w:r>
      <w:r w:rsidRPr="00B039E3">
        <w:rPr>
          <w:bCs/>
          <w:lang w:val="en-US"/>
        </w:rPr>
        <w:t>-0.58 dB</w:t>
      </w:r>
      <w:r>
        <w:rPr>
          <w:bCs/>
          <w:lang w:val="en-US"/>
        </w:rPr>
        <w:t>= 5.42 dB</w:t>
      </w:r>
      <w:r w:rsidRPr="00B039E3">
        <w:rPr>
          <w:bCs/>
          <w:lang w:val="en-US"/>
        </w:rPr>
        <w:t>, C/N(access)=</w:t>
      </w:r>
      <w:r>
        <w:rPr>
          <w:bCs/>
          <w:lang w:val="en-US"/>
        </w:rPr>
        <w:t xml:space="preserve">6 dB </w:t>
      </w:r>
      <w:r w:rsidRPr="00B039E3">
        <w:rPr>
          <w:bCs/>
          <w:lang w:val="en-US"/>
        </w:rPr>
        <w:t>-9.03 dB</w:t>
      </w:r>
      <w:r>
        <w:rPr>
          <w:bCs/>
          <w:lang w:val="en-US"/>
        </w:rPr>
        <w:t xml:space="preserve"> = -3.03 dB</w:t>
      </w:r>
    </w:p>
    <w:p w14:paraId="5A35E6C1" w14:textId="77777777" w:rsidR="006C23F8" w:rsidRDefault="006C23F8" w:rsidP="006C23F8">
      <w:pPr>
        <w:pStyle w:val="ListParagraph"/>
        <w:numPr>
          <w:ilvl w:val="0"/>
          <w:numId w:val="10"/>
        </w:numPr>
        <w:rPr>
          <w:bCs/>
          <w:lang w:val="en-US"/>
        </w:rPr>
      </w:pPr>
      <w:r w:rsidRPr="006C23F8">
        <w:rPr>
          <w:bCs/>
          <w:lang w:val="en-US"/>
        </w:rPr>
        <w:t>N=7, P(total)=(7+1) *25.2 W= 201.6 W, P(access)=50.4 W, P(data)=21.6 W, EIRP(data)=EIRP+10*log(7/(7+1)-10*log(25.2/21.6)=EIRP-1.25 dB, EIRP(access)=EIRP-10*log(7+1)+10*log(50.4/25.2)=EIRP-6.02 dB, C/N(data)=6 dB - 1.25 dB = 4.75 dB, C/N(access)=6 dB -6.03 dB = 0 dB</w:t>
      </w:r>
    </w:p>
    <w:tbl>
      <w:tblPr>
        <w:tblStyle w:val="TableGrid"/>
        <w:tblW w:w="0" w:type="auto"/>
        <w:tblLayout w:type="fixed"/>
        <w:tblLook w:val="04A0" w:firstRow="1" w:lastRow="0" w:firstColumn="1" w:lastColumn="0" w:noHBand="0" w:noVBand="1"/>
      </w:tblPr>
      <w:tblGrid>
        <w:gridCol w:w="846"/>
        <w:gridCol w:w="992"/>
        <w:gridCol w:w="425"/>
        <w:gridCol w:w="851"/>
        <w:gridCol w:w="992"/>
        <w:gridCol w:w="2835"/>
        <w:gridCol w:w="2690"/>
      </w:tblGrid>
      <w:tr w:rsidR="006C23F8" w14:paraId="1B4A491F" w14:textId="77777777" w:rsidTr="006C23F8">
        <w:tc>
          <w:tcPr>
            <w:tcW w:w="846" w:type="dxa"/>
            <w:shd w:val="clear" w:color="auto" w:fill="DAEEF3" w:themeFill="accent5" w:themeFillTint="33"/>
          </w:tcPr>
          <w:p w14:paraId="18489A02" w14:textId="0BCE6DDA" w:rsidR="006C23F8" w:rsidRDefault="006C23F8" w:rsidP="006C23F8">
            <w:pPr>
              <w:jc w:val="center"/>
              <w:rPr>
                <w:bCs/>
                <w:lang w:val="en-US"/>
              </w:rPr>
            </w:pPr>
            <w:r>
              <w:rPr>
                <w:bCs/>
                <w:lang w:val="en-US"/>
              </w:rPr>
              <w:t>P  (data)</w:t>
            </w:r>
          </w:p>
        </w:tc>
        <w:tc>
          <w:tcPr>
            <w:tcW w:w="992" w:type="dxa"/>
            <w:shd w:val="clear" w:color="auto" w:fill="DAEEF3" w:themeFill="accent5" w:themeFillTint="33"/>
          </w:tcPr>
          <w:p w14:paraId="3448FEB7" w14:textId="5978D69F" w:rsidR="006C23F8" w:rsidRDefault="006C23F8" w:rsidP="006C23F8">
            <w:pPr>
              <w:jc w:val="center"/>
              <w:rPr>
                <w:bCs/>
                <w:lang w:val="en-US"/>
              </w:rPr>
            </w:pPr>
            <w:r>
              <w:rPr>
                <w:bCs/>
                <w:lang w:val="en-US"/>
              </w:rPr>
              <w:t>P (access)</w:t>
            </w:r>
          </w:p>
        </w:tc>
        <w:tc>
          <w:tcPr>
            <w:tcW w:w="425" w:type="dxa"/>
            <w:shd w:val="clear" w:color="auto" w:fill="DAEEF3" w:themeFill="accent5" w:themeFillTint="33"/>
          </w:tcPr>
          <w:p w14:paraId="6F6090F6" w14:textId="41DB48C7" w:rsidR="006C23F8" w:rsidRDefault="006C23F8" w:rsidP="006C23F8">
            <w:pPr>
              <w:jc w:val="center"/>
              <w:rPr>
                <w:bCs/>
                <w:lang w:val="en-US"/>
              </w:rPr>
            </w:pPr>
            <w:r>
              <w:rPr>
                <w:bCs/>
                <w:lang w:val="en-US"/>
              </w:rPr>
              <w:t>N</w:t>
            </w:r>
          </w:p>
        </w:tc>
        <w:tc>
          <w:tcPr>
            <w:tcW w:w="851" w:type="dxa"/>
            <w:shd w:val="clear" w:color="auto" w:fill="DAEEF3" w:themeFill="accent5" w:themeFillTint="33"/>
          </w:tcPr>
          <w:p w14:paraId="66A62F71" w14:textId="121F652B" w:rsidR="006C23F8" w:rsidRDefault="006C23F8" w:rsidP="006C23F8">
            <w:pPr>
              <w:jc w:val="center"/>
              <w:rPr>
                <w:bCs/>
                <w:lang w:val="en-US"/>
              </w:rPr>
            </w:pPr>
            <w:r>
              <w:rPr>
                <w:bCs/>
                <w:lang w:val="en-US"/>
              </w:rPr>
              <w:t>C/N (data)</w:t>
            </w:r>
          </w:p>
        </w:tc>
        <w:tc>
          <w:tcPr>
            <w:tcW w:w="992" w:type="dxa"/>
            <w:shd w:val="clear" w:color="auto" w:fill="DAEEF3" w:themeFill="accent5" w:themeFillTint="33"/>
          </w:tcPr>
          <w:p w14:paraId="1076E87B" w14:textId="42FA29B9" w:rsidR="006C23F8" w:rsidRDefault="006C23F8" w:rsidP="006C23F8">
            <w:pPr>
              <w:jc w:val="center"/>
              <w:rPr>
                <w:bCs/>
                <w:lang w:val="en-US"/>
              </w:rPr>
            </w:pPr>
            <w:r>
              <w:rPr>
                <w:bCs/>
                <w:lang w:val="en-US"/>
              </w:rPr>
              <w:t>C/N  (access)</w:t>
            </w:r>
          </w:p>
        </w:tc>
        <w:tc>
          <w:tcPr>
            <w:tcW w:w="2835" w:type="dxa"/>
            <w:shd w:val="clear" w:color="auto" w:fill="DAEEF3" w:themeFill="accent5" w:themeFillTint="33"/>
          </w:tcPr>
          <w:p w14:paraId="3CC175C6" w14:textId="095900BE" w:rsidR="006C23F8" w:rsidRDefault="006C23F8" w:rsidP="006C23F8">
            <w:pPr>
              <w:jc w:val="center"/>
              <w:rPr>
                <w:bCs/>
                <w:lang w:val="en-US"/>
              </w:rPr>
            </w:pPr>
            <w:r w:rsidRPr="006C23F8">
              <w:rPr>
                <w:bCs/>
                <w:lang w:val="en-US"/>
              </w:rPr>
              <w:t xml:space="preserve">Power share for access </w:t>
            </w:r>
            <w:r>
              <w:rPr>
                <w:bCs/>
                <w:lang w:val="en-US"/>
              </w:rPr>
              <w:t xml:space="preserve">    </w:t>
            </w:r>
            <w:r w:rsidRPr="006C23F8">
              <w:rPr>
                <w:bCs/>
                <w:lang w:val="en-US"/>
              </w:rPr>
              <w:t>(%total, P,  EIRP)</w:t>
            </w:r>
          </w:p>
        </w:tc>
        <w:tc>
          <w:tcPr>
            <w:tcW w:w="2690" w:type="dxa"/>
            <w:shd w:val="clear" w:color="auto" w:fill="DAEEF3" w:themeFill="accent5" w:themeFillTint="33"/>
          </w:tcPr>
          <w:p w14:paraId="64D00485" w14:textId="3D3CA5B1" w:rsidR="006C23F8" w:rsidRDefault="006C23F8" w:rsidP="006C23F8">
            <w:pPr>
              <w:jc w:val="center"/>
              <w:rPr>
                <w:bCs/>
                <w:lang w:val="en-US"/>
              </w:rPr>
            </w:pPr>
            <w:r w:rsidRPr="006C23F8">
              <w:rPr>
                <w:bCs/>
                <w:lang w:val="en-US"/>
              </w:rPr>
              <w:t>Power share for access (%total, P,  EIRP)</w:t>
            </w:r>
          </w:p>
        </w:tc>
      </w:tr>
      <w:tr w:rsidR="006C23F8" w14:paraId="732BA4AD" w14:textId="77777777" w:rsidTr="006C23F8">
        <w:tc>
          <w:tcPr>
            <w:tcW w:w="846" w:type="dxa"/>
          </w:tcPr>
          <w:p w14:paraId="0BE3E5D5" w14:textId="07EB857C" w:rsidR="006C23F8" w:rsidRDefault="006C23F8" w:rsidP="006C23F8">
            <w:pPr>
              <w:rPr>
                <w:bCs/>
                <w:lang w:val="en-US"/>
              </w:rPr>
            </w:pPr>
            <w:r>
              <w:rPr>
                <w:bCs/>
                <w:lang w:val="en-US"/>
              </w:rPr>
              <w:t>25.2 W</w:t>
            </w:r>
          </w:p>
        </w:tc>
        <w:tc>
          <w:tcPr>
            <w:tcW w:w="992" w:type="dxa"/>
          </w:tcPr>
          <w:p w14:paraId="40F4DF5D" w14:textId="0314BFA0" w:rsidR="006C23F8" w:rsidRDefault="006C23F8" w:rsidP="006C23F8">
            <w:pPr>
              <w:rPr>
                <w:bCs/>
                <w:lang w:val="en-US"/>
              </w:rPr>
            </w:pPr>
            <w:r>
              <w:rPr>
                <w:bCs/>
                <w:lang w:val="en-US"/>
              </w:rPr>
              <w:t>25.2 W</w:t>
            </w:r>
          </w:p>
        </w:tc>
        <w:tc>
          <w:tcPr>
            <w:tcW w:w="425" w:type="dxa"/>
          </w:tcPr>
          <w:p w14:paraId="0D29DB77" w14:textId="4D9C086E" w:rsidR="006C23F8" w:rsidRDefault="006C23F8" w:rsidP="006C23F8">
            <w:pPr>
              <w:rPr>
                <w:bCs/>
                <w:lang w:val="en-US"/>
              </w:rPr>
            </w:pPr>
            <w:r>
              <w:rPr>
                <w:bCs/>
                <w:lang w:val="en-US"/>
              </w:rPr>
              <w:t>7</w:t>
            </w:r>
          </w:p>
        </w:tc>
        <w:tc>
          <w:tcPr>
            <w:tcW w:w="851" w:type="dxa"/>
          </w:tcPr>
          <w:p w14:paraId="19D50E31" w14:textId="655D4A7B" w:rsidR="006C23F8" w:rsidRDefault="006C23F8" w:rsidP="006C23F8">
            <w:pPr>
              <w:rPr>
                <w:bCs/>
                <w:lang w:val="en-US"/>
              </w:rPr>
            </w:pPr>
            <w:r>
              <w:rPr>
                <w:bCs/>
                <w:lang w:val="en-US"/>
              </w:rPr>
              <w:t>5.42 dB</w:t>
            </w:r>
          </w:p>
        </w:tc>
        <w:tc>
          <w:tcPr>
            <w:tcW w:w="992" w:type="dxa"/>
          </w:tcPr>
          <w:p w14:paraId="1D8E3CDA" w14:textId="49362114" w:rsidR="006C23F8" w:rsidRDefault="006C23F8" w:rsidP="006C23F8">
            <w:pPr>
              <w:rPr>
                <w:bCs/>
                <w:lang w:val="en-US"/>
              </w:rPr>
            </w:pPr>
            <w:r>
              <w:rPr>
                <w:bCs/>
                <w:lang w:val="en-US"/>
              </w:rPr>
              <w:t>-3.03 dB</w:t>
            </w:r>
          </w:p>
        </w:tc>
        <w:tc>
          <w:tcPr>
            <w:tcW w:w="2835" w:type="dxa"/>
          </w:tcPr>
          <w:p w14:paraId="74C142DF" w14:textId="088D2166" w:rsidR="006C23F8" w:rsidRDefault="006C23F8" w:rsidP="006C23F8">
            <w:pPr>
              <w:rPr>
                <w:bCs/>
                <w:lang w:val="en-US"/>
              </w:rPr>
            </w:pPr>
            <w:r>
              <w:rPr>
                <w:bCs/>
                <w:lang w:val="en-US"/>
              </w:rPr>
              <w:t xml:space="preserve">87.5%, 25.2W, </w:t>
            </w:r>
            <w:r w:rsidRPr="006C23F8">
              <w:rPr>
                <w:bCs/>
                <w:lang w:val="en-US"/>
              </w:rPr>
              <w:t>EIRP-0.58 dB</w:t>
            </w:r>
          </w:p>
        </w:tc>
        <w:tc>
          <w:tcPr>
            <w:tcW w:w="2690" w:type="dxa"/>
          </w:tcPr>
          <w:p w14:paraId="352F5063" w14:textId="66C36348" w:rsidR="006C23F8" w:rsidRDefault="006C23F8" w:rsidP="006C23F8">
            <w:pPr>
              <w:rPr>
                <w:bCs/>
                <w:lang w:val="en-US"/>
              </w:rPr>
            </w:pPr>
            <w:r>
              <w:rPr>
                <w:bCs/>
                <w:lang w:val="en-US"/>
              </w:rPr>
              <w:t>12.5%, 25.2W,</w:t>
            </w:r>
            <w:r w:rsidRPr="006C23F8">
              <w:rPr>
                <w:bCs/>
                <w:lang w:val="en-US"/>
              </w:rPr>
              <w:t xml:space="preserve"> EIRP-9.03 dB</w:t>
            </w:r>
          </w:p>
        </w:tc>
      </w:tr>
      <w:tr w:rsidR="006C23F8" w14:paraId="3C0B8512" w14:textId="77777777" w:rsidTr="006C23F8">
        <w:tc>
          <w:tcPr>
            <w:tcW w:w="846" w:type="dxa"/>
          </w:tcPr>
          <w:p w14:paraId="6C598252" w14:textId="70EDFCF5" w:rsidR="006C23F8" w:rsidRDefault="006C23F8" w:rsidP="006C23F8">
            <w:pPr>
              <w:rPr>
                <w:bCs/>
                <w:lang w:val="en-US"/>
              </w:rPr>
            </w:pPr>
            <w:r>
              <w:rPr>
                <w:bCs/>
                <w:lang w:val="en-US"/>
              </w:rPr>
              <w:t>21.6 W</w:t>
            </w:r>
          </w:p>
        </w:tc>
        <w:tc>
          <w:tcPr>
            <w:tcW w:w="992" w:type="dxa"/>
          </w:tcPr>
          <w:p w14:paraId="40E97F32" w14:textId="4E08019D" w:rsidR="006C23F8" w:rsidRDefault="006C23F8" w:rsidP="006C23F8">
            <w:pPr>
              <w:rPr>
                <w:bCs/>
                <w:lang w:val="en-US"/>
              </w:rPr>
            </w:pPr>
            <w:r>
              <w:rPr>
                <w:bCs/>
                <w:lang w:val="en-US"/>
              </w:rPr>
              <w:t>50.4 W</w:t>
            </w:r>
          </w:p>
        </w:tc>
        <w:tc>
          <w:tcPr>
            <w:tcW w:w="425" w:type="dxa"/>
          </w:tcPr>
          <w:p w14:paraId="58C1814C" w14:textId="75FC52A1" w:rsidR="006C23F8" w:rsidRDefault="006C23F8" w:rsidP="006C23F8">
            <w:pPr>
              <w:rPr>
                <w:bCs/>
                <w:lang w:val="en-US"/>
              </w:rPr>
            </w:pPr>
            <w:r>
              <w:rPr>
                <w:bCs/>
                <w:lang w:val="en-US"/>
              </w:rPr>
              <w:t>7</w:t>
            </w:r>
          </w:p>
        </w:tc>
        <w:tc>
          <w:tcPr>
            <w:tcW w:w="851" w:type="dxa"/>
          </w:tcPr>
          <w:p w14:paraId="128A1C2D" w14:textId="7D0B0B5D" w:rsidR="006C23F8" w:rsidRDefault="006C23F8" w:rsidP="006C23F8">
            <w:pPr>
              <w:rPr>
                <w:bCs/>
                <w:lang w:val="en-US"/>
              </w:rPr>
            </w:pPr>
            <w:r>
              <w:rPr>
                <w:bCs/>
                <w:lang w:val="en-US"/>
              </w:rPr>
              <w:t>4.75 dB</w:t>
            </w:r>
          </w:p>
        </w:tc>
        <w:tc>
          <w:tcPr>
            <w:tcW w:w="992" w:type="dxa"/>
          </w:tcPr>
          <w:p w14:paraId="57679C79" w14:textId="5CB466A8" w:rsidR="006C23F8" w:rsidRDefault="006C23F8" w:rsidP="006C23F8">
            <w:pPr>
              <w:rPr>
                <w:bCs/>
                <w:lang w:val="en-US"/>
              </w:rPr>
            </w:pPr>
            <w:r>
              <w:rPr>
                <w:bCs/>
                <w:lang w:val="en-US"/>
              </w:rPr>
              <w:t>0.03 dB</w:t>
            </w:r>
          </w:p>
        </w:tc>
        <w:tc>
          <w:tcPr>
            <w:tcW w:w="2835" w:type="dxa"/>
          </w:tcPr>
          <w:p w14:paraId="3CEABBA7" w14:textId="25D685F0" w:rsidR="006C23F8" w:rsidRDefault="006C23F8" w:rsidP="006C23F8">
            <w:pPr>
              <w:rPr>
                <w:bCs/>
                <w:lang w:val="en-US"/>
              </w:rPr>
            </w:pPr>
            <w:r>
              <w:rPr>
                <w:bCs/>
                <w:lang w:val="en-US"/>
              </w:rPr>
              <w:t xml:space="preserve">75%, 21.6W, </w:t>
            </w:r>
            <w:r w:rsidRPr="006C23F8">
              <w:rPr>
                <w:bCs/>
                <w:lang w:val="en-US"/>
              </w:rPr>
              <w:t>EIRP-1.25 dB</w:t>
            </w:r>
          </w:p>
        </w:tc>
        <w:tc>
          <w:tcPr>
            <w:tcW w:w="2690" w:type="dxa"/>
          </w:tcPr>
          <w:p w14:paraId="142DCC83" w14:textId="582794D1" w:rsidR="006C23F8" w:rsidRDefault="006C23F8" w:rsidP="006C23F8">
            <w:pPr>
              <w:rPr>
                <w:bCs/>
                <w:lang w:val="en-US"/>
              </w:rPr>
            </w:pPr>
            <w:r>
              <w:rPr>
                <w:bCs/>
                <w:lang w:val="en-US"/>
              </w:rPr>
              <w:t>25%, 50.4W,</w:t>
            </w:r>
            <w:r w:rsidRPr="006C23F8">
              <w:rPr>
                <w:bCs/>
                <w:lang w:val="en-US"/>
              </w:rPr>
              <w:t xml:space="preserve"> EIRP-6.03 dB</w:t>
            </w:r>
          </w:p>
        </w:tc>
      </w:tr>
    </w:tbl>
    <w:p w14:paraId="038E1D54" w14:textId="77777777" w:rsidR="00B039E3" w:rsidRDefault="00B039E3" w:rsidP="00B039E3">
      <w:pPr>
        <w:rPr>
          <w:bCs/>
          <w:lang w:val="en-US"/>
        </w:rPr>
      </w:pPr>
    </w:p>
    <w:p w14:paraId="3665CA7D" w14:textId="74747F49" w:rsidR="006C23F8" w:rsidRPr="006C23F8" w:rsidRDefault="006C23F8" w:rsidP="006C23F8">
      <w:pPr>
        <w:jc w:val="center"/>
        <w:rPr>
          <w:b/>
          <w:bCs/>
          <w:i/>
          <w:lang w:val="en-US"/>
        </w:rPr>
      </w:pPr>
      <w:r w:rsidRPr="006C23F8">
        <w:rPr>
          <w:b/>
          <w:bCs/>
          <w:i/>
          <w:lang w:val="en-US"/>
        </w:rPr>
        <w:t>Table 1:EIRP Power splitting with Umbrella beam and narrow beam layout</w:t>
      </w:r>
    </w:p>
    <w:p w14:paraId="253D9EEC" w14:textId="251C581F" w:rsidR="000631C2" w:rsidRPr="00060BF8" w:rsidRDefault="00060BF8" w:rsidP="00060BF8">
      <w:pPr>
        <w:rPr>
          <w:bCs/>
          <w:lang w:val="en-US"/>
        </w:rPr>
      </w:pPr>
      <w:r>
        <w:rPr>
          <w:bCs/>
          <w:lang w:val="en-US"/>
        </w:rPr>
        <w:t>Legacy satellite GEO systems typically</w:t>
      </w:r>
      <w:r w:rsidR="000631C2" w:rsidRPr="00060BF8">
        <w:rPr>
          <w:bCs/>
          <w:lang w:val="en-US"/>
        </w:rPr>
        <w:t xml:space="preserve"> support a regional beam spot of several 1000 km and local beams of several 100 km</w:t>
      </w:r>
      <w:r>
        <w:rPr>
          <w:bCs/>
          <w:lang w:val="en-US"/>
        </w:rPr>
        <w:t>. T</w:t>
      </w:r>
      <w:r w:rsidR="000631C2" w:rsidRPr="00060BF8">
        <w:rPr>
          <w:bCs/>
          <w:lang w:val="en-US"/>
        </w:rPr>
        <w:t>he regional beam is used for synchronization, system configuration, paging, initial access</w:t>
      </w:r>
      <w:r>
        <w:rPr>
          <w:bCs/>
          <w:lang w:val="en-US"/>
        </w:rPr>
        <w:t>. T</w:t>
      </w:r>
      <w:r w:rsidR="000631C2" w:rsidRPr="00060BF8">
        <w:rPr>
          <w:bCs/>
          <w:lang w:val="en-US"/>
        </w:rPr>
        <w:t xml:space="preserve">he local </w:t>
      </w:r>
      <w:r>
        <w:rPr>
          <w:bCs/>
          <w:lang w:val="en-US"/>
        </w:rPr>
        <w:t>beams are used for data</w:t>
      </w:r>
      <w:r w:rsidR="000631C2" w:rsidRPr="00060BF8">
        <w:rPr>
          <w:bCs/>
          <w:lang w:val="en-US"/>
        </w:rPr>
        <w:t>. The link budget in LEO is less challenging than in GEO.</w:t>
      </w:r>
    </w:p>
    <w:p w14:paraId="48067CD4" w14:textId="2EC02FC7" w:rsidR="000631C2" w:rsidRPr="00060BF8" w:rsidRDefault="000631C2" w:rsidP="00060BF8">
      <w:pPr>
        <w:rPr>
          <w:bCs/>
          <w:lang w:val="en-US"/>
        </w:rPr>
      </w:pPr>
      <w:r w:rsidRPr="00060BF8">
        <w:rPr>
          <w:bCs/>
          <w:lang w:val="en-US"/>
        </w:rPr>
        <w:t xml:space="preserve">DL synchronization with much larger Doppler shift </w:t>
      </w:r>
      <w:r w:rsidR="00060BF8">
        <w:rPr>
          <w:bCs/>
          <w:lang w:val="en-US"/>
        </w:rPr>
        <w:t xml:space="preserve">could be experienced on the </w:t>
      </w:r>
      <w:r w:rsidR="00BB5B8E">
        <w:rPr>
          <w:bCs/>
          <w:lang w:val="en-US"/>
        </w:rPr>
        <w:t>wider</w:t>
      </w:r>
      <w:r w:rsidRPr="00060BF8">
        <w:rPr>
          <w:bCs/>
          <w:lang w:val="en-US"/>
        </w:rPr>
        <w:t xml:space="preserve"> beam </w:t>
      </w:r>
      <w:r w:rsidR="00BB5B8E">
        <w:rPr>
          <w:bCs/>
          <w:lang w:val="en-US"/>
        </w:rPr>
        <w:t xml:space="preserve">for access assuming multiple beams. </w:t>
      </w:r>
      <w:r w:rsidRPr="00060BF8">
        <w:rPr>
          <w:bCs/>
          <w:lang w:val="en-US"/>
        </w:rPr>
        <w:t xml:space="preserve">A simple solution for NR NTN to support an anchor beam of 1000 km beam diameter is </w:t>
      </w:r>
      <w:r w:rsidR="00060BF8">
        <w:rPr>
          <w:bCs/>
          <w:lang w:val="en-US"/>
        </w:rPr>
        <w:t xml:space="preserve">that the UE </w:t>
      </w:r>
      <w:r w:rsidRPr="00060BF8">
        <w:rPr>
          <w:bCs/>
          <w:lang w:val="en-US"/>
        </w:rPr>
        <w:t>use</w:t>
      </w:r>
      <w:r w:rsidR="00060BF8">
        <w:rPr>
          <w:bCs/>
          <w:lang w:val="en-US"/>
        </w:rPr>
        <w:t>s</w:t>
      </w:r>
      <w:r w:rsidRPr="00060BF8">
        <w:rPr>
          <w:bCs/>
          <w:lang w:val="en-US"/>
        </w:rPr>
        <w:t xml:space="preserve"> a larger tone raster</w:t>
      </w:r>
      <w:r w:rsidR="00060BF8">
        <w:rPr>
          <w:bCs/>
          <w:lang w:val="en-US"/>
        </w:rPr>
        <w:t xml:space="preserve"> for DL synchronization during i</w:t>
      </w:r>
      <w:r w:rsidRPr="00060BF8">
        <w:rPr>
          <w:bCs/>
          <w:lang w:val="en-US"/>
        </w:rPr>
        <w:t xml:space="preserve">nitial </w:t>
      </w:r>
      <w:r w:rsidR="00060BF8">
        <w:rPr>
          <w:bCs/>
          <w:lang w:val="en-US"/>
        </w:rPr>
        <w:t xml:space="preserve">cell </w:t>
      </w:r>
      <w:r w:rsidRPr="00060BF8">
        <w:rPr>
          <w:bCs/>
          <w:lang w:val="en-US"/>
        </w:rPr>
        <w:t>access. The raster spacing in NR based on Table 5.4.3.1-1 in TS 38.104 is shown below</w:t>
      </w:r>
      <w:r w:rsidR="00FD09E6">
        <w:rPr>
          <w:bCs/>
          <w:lang w:val="en-US"/>
        </w:rPr>
        <w:t xml:space="preserve">. We also show </w:t>
      </w:r>
      <w:r w:rsidRPr="00060BF8">
        <w:rPr>
          <w:bCs/>
          <w:lang w:val="en-US"/>
        </w:rPr>
        <w:t xml:space="preserve">the maximum residual frequency offset and corresponding maximum beam diameter at the Nadir. </w:t>
      </w:r>
      <w:r w:rsidR="00060BF8">
        <w:rPr>
          <w:bCs/>
          <w:lang w:val="en-US"/>
        </w:rPr>
        <w:t>A</w:t>
      </w:r>
      <w:r w:rsidRPr="00060BF8">
        <w:rPr>
          <w:bCs/>
          <w:lang w:val="en-US"/>
        </w:rPr>
        <w:t xml:space="preserve"> +/-10ppm free running oscillator accuracy </w:t>
      </w:r>
      <w:r w:rsidR="00060BF8">
        <w:rPr>
          <w:bCs/>
          <w:lang w:val="en-US"/>
        </w:rPr>
        <w:t xml:space="preserve">is used </w:t>
      </w:r>
      <w:r w:rsidRPr="00060BF8">
        <w:rPr>
          <w:bCs/>
          <w:lang w:val="en-US"/>
        </w:rPr>
        <w:t xml:space="preserve">in the device. </w:t>
      </w:r>
    </w:p>
    <w:p w14:paraId="3BEFBA97" w14:textId="77777777" w:rsidR="000631C2" w:rsidRPr="000631C2" w:rsidRDefault="000631C2" w:rsidP="000631C2">
      <w:pPr>
        <w:pStyle w:val="ListParagraph"/>
        <w:numPr>
          <w:ilvl w:val="0"/>
          <w:numId w:val="7"/>
        </w:numPr>
        <w:rPr>
          <w:bCs/>
          <w:lang w:val="en-US"/>
        </w:rPr>
      </w:pPr>
      <w:r w:rsidRPr="000631C2">
        <w:rPr>
          <w:bCs/>
          <w:lang w:val="en-US"/>
        </w:rPr>
        <w:t xml:space="preserve">Fc&lt;3GHz: </w:t>
      </w:r>
      <w:r>
        <w:rPr>
          <w:bCs/>
          <w:lang w:val="en-US"/>
        </w:rPr>
        <w:t xml:space="preserve">raster </w:t>
      </w:r>
      <w:r w:rsidRPr="000631C2">
        <w:rPr>
          <w:bCs/>
          <w:lang w:val="en-US"/>
        </w:rPr>
        <w:t>100KHz</w:t>
      </w:r>
      <w:r>
        <w:rPr>
          <w:bCs/>
          <w:lang w:val="en-US"/>
        </w:rPr>
        <w:t xml:space="preserve">, residual frequency offset ±15 kHz, max beam diameter 340 km </w:t>
      </w:r>
    </w:p>
    <w:p w14:paraId="76D60A12" w14:textId="77777777" w:rsidR="000631C2" w:rsidRPr="000631C2" w:rsidRDefault="000631C2" w:rsidP="000631C2">
      <w:pPr>
        <w:pStyle w:val="ListParagraph"/>
        <w:numPr>
          <w:ilvl w:val="0"/>
          <w:numId w:val="7"/>
        </w:numPr>
        <w:rPr>
          <w:bCs/>
          <w:lang w:val="en-US"/>
        </w:rPr>
      </w:pPr>
      <w:r w:rsidRPr="000631C2">
        <w:rPr>
          <w:bCs/>
          <w:lang w:val="en-US"/>
        </w:rPr>
        <w:t xml:space="preserve">3GHz&lt;Fc&lt;24.25GHz (effectively 6GHz): </w:t>
      </w:r>
      <w:r>
        <w:rPr>
          <w:bCs/>
          <w:lang w:val="en-US"/>
        </w:rPr>
        <w:t xml:space="preserve">raster </w:t>
      </w:r>
      <w:r w:rsidRPr="000631C2">
        <w:rPr>
          <w:bCs/>
          <w:lang w:val="en-US"/>
        </w:rPr>
        <w:t>1.44MHz</w:t>
      </w:r>
      <w:r>
        <w:rPr>
          <w:bCs/>
          <w:lang w:val="en-US"/>
        </w:rPr>
        <w:t>, residual frequency offset ±58 kHz, max beam diameter &gt; 1000 km</w:t>
      </w:r>
    </w:p>
    <w:p w14:paraId="3437909B" w14:textId="5B19FCE9" w:rsidR="008F57CE" w:rsidRPr="000631C2" w:rsidRDefault="000631C2" w:rsidP="008F57CE">
      <w:pPr>
        <w:pStyle w:val="ListParagraph"/>
        <w:numPr>
          <w:ilvl w:val="0"/>
          <w:numId w:val="7"/>
        </w:numPr>
        <w:rPr>
          <w:bCs/>
          <w:lang w:val="en-US"/>
        </w:rPr>
      </w:pPr>
      <w:r w:rsidRPr="000631C2">
        <w:rPr>
          <w:bCs/>
          <w:lang w:val="en-US"/>
        </w:rPr>
        <w:t xml:space="preserve">Fc&gt;24.25GHz: </w:t>
      </w:r>
      <w:r w:rsidR="00060BF8">
        <w:rPr>
          <w:bCs/>
          <w:lang w:val="en-US"/>
        </w:rPr>
        <w:t>r</w:t>
      </w:r>
      <w:r>
        <w:rPr>
          <w:bCs/>
          <w:lang w:val="en-US"/>
        </w:rPr>
        <w:t xml:space="preserve">aster </w:t>
      </w:r>
      <w:r w:rsidRPr="000631C2">
        <w:rPr>
          <w:bCs/>
          <w:lang w:val="en-US"/>
        </w:rPr>
        <w:t>17.28MHz</w:t>
      </w:r>
      <w:r>
        <w:rPr>
          <w:bCs/>
          <w:lang w:val="en-US"/>
        </w:rPr>
        <w:t>, , residual frequency offset ±70 kHz, max beam diameter &gt; 1000 km</w:t>
      </w:r>
      <w:r w:rsidR="008F57CE" w:rsidRPr="000631C2">
        <w:rPr>
          <w:bCs/>
          <w:lang w:val="en-US"/>
        </w:rPr>
        <w:t xml:space="preserve">   </w:t>
      </w:r>
    </w:p>
    <w:p w14:paraId="780C81D0" w14:textId="77777777" w:rsidR="002F4ABC" w:rsidRDefault="002F4ABC" w:rsidP="002F4ABC">
      <w:pPr>
        <w:rPr>
          <w:b/>
          <w:bCs/>
          <w:i/>
          <w:lang w:val="en-US"/>
        </w:rPr>
      </w:pPr>
    </w:p>
    <w:p w14:paraId="7F61B4E1" w14:textId="77777777" w:rsidR="002F4ABC" w:rsidRPr="002F4ABC" w:rsidRDefault="002F4ABC" w:rsidP="002F4ABC">
      <w:pPr>
        <w:rPr>
          <w:bCs/>
          <w:i/>
          <w:lang w:val="en-US"/>
        </w:rPr>
      </w:pPr>
      <w:r w:rsidRPr="002F4ABC">
        <w:rPr>
          <w:b/>
          <w:bCs/>
          <w:i/>
          <w:lang w:val="en-US"/>
        </w:rPr>
        <w:t>Observation 1</w:t>
      </w:r>
      <w:r w:rsidRPr="002F4ABC">
        <w:rPr>
          <w:bCs/>
          <w:i/>
          <w:lang w:val="en-US"/>
        </w:rPr>
        <w:t>: Wide beam transmitting initial BWP#0 and multiple narrow beam spots transmitting data, where each narrow beam spot can be associated with dedicated BWP#1,2,3 for data transmission allows to re-use Rel-15 Beam management mechanisms.</w:t>
      </w:r>
    </w:p>
    <w:p w14:paraId="70C747ED" w14:textId="4E3688C2" w:rsidR="002F4ABC" w:rsidRDefault="002F4ABC" w:rsidP="002F4ABC">
      <w:pPr>
        <w:rPr>
          <w:bCs/>
          <w:i/>
          <w:lang w:val="en-US"/>
        </w:rPr>
      </w:pPr>
      <w:r w:rsidRPr="002F4ABC">
        <w:rPr>
          <w:b/>
          <w:bCs/>
          <w:i/>
          <w:lang w:val="en-US"/>
        </w:rPr>
        <w:t>Observation 2</w:t>
      </w:r>
      <w:r w:rsidRPr="002F4ABC">
        <w:rPr>
          <w:bCs/>
          <w:i/>
          <w:lang w:val="en-US"/>
        </w:rPr>
        <w:t>: Wide beam transmitting initial BWP#0 and multiple narrow beam spots transmitting data,  allows scaling of L1 overhead and cell-specific overhead scaling b</w:t>
      </w:r>
      <w:r w:rsidR="00EA6D91">
        <w:rPr>
          <w:bCs/>
          <w:i/>
          <w:lang w:val="en-US"/>
        </w:rPr>
        <w:t>y</w:t>
      </w:r>
      <w:r w:rsidRPr="002F4ABC">
        <w:rPr>
          <w:bCs/>
          <w:i/>
          <w:lang w:val="en-US"/>
        </w:rPr>
        <w:t xml:space="preserve"> 1/(N+1) where N is the number of narrow spot beams within the wider beam.</w:t>
      </w:r>
    </w:p>
    <w:p w14:paraId="62652455" w14:textId="506F2D40" w:rsidR="002F4ABC" w:rsidRPr="002F4ABC" w:rsidRDefault="002F4ABC" w:rsidP="002F4ABC">
      <w:pPr>
        <w:rPr>
          <w:bCs/>
          <w:i/>
          <w:lang w:val="en-US"/>
        </w:rPr>
      </w:pPr>
      <w:r w:rsidRPr="002F4ABC">
        <w:rPr>
          <w:b/>
          <w:bCs/>
          <w:i/>
          <w:lang w:val="en-US"/>
        </w:rPr>
        <w:t>Observation 3</w:t>
      </w:r>
      <w:r>
        <w:rPr>
          <w:bCs/>
          <w:i/>
          <w:lang w:val="en-US"/>
        </w:rPr>
        <w:t xml:space="preserve">: EIRP splitting between wider beam and N narrow beam spots marginally reduce EIRP for data on narrow beams by </w:t>
      </w:r>
      <w:r w:rsidRPr="002F4ABC">
        <w:rPr>
          <w:bCs/>
          <w:i/>
          <w:lang w:val="en-US"/>
        </w:rPr>
        <w:t>10*log(N/[N+1])</w:t>
      </w:r>
      <w:r>
        <w:rPr>
          <w:bCs/>
          <w:i/>
          <w:lang w:val="en-US"/>
        </w:rPr>
        <w:t xml:space="preserve"> dB. </w:t>
      </w:r>
      <w:r w:rsidRPr="002F4ABC">
        <w:rPr>
          <w:bCs/>
          <w:i/>
          <w:lang w:val="en-US"/>
        </w:rPr>
        <w:t xml:space="preserve"> </w:t>
      </w:r>
    </w:p>
    <w:p w14:paraId="5469DBB2" w14:textId="77777777" w:rsidR="000631C2" w:rsidRDefault="000631C2" w:rsidP="006C4883">
      <w:pPr>
        <w:rPr>
          <w:bCs/>
          <w:lang w:val="en-US"/>
        </w:rPr>
      </w:pPr>
    </w:p>
    <w:p w14:paraId="1DF5AE47" w14:textId="7A48BD9B" w:rsidR="00BB5B8E" w:rsidRDefault="00BB5B8E" w:rsidP="00BB5B8E">
      <w:pPr>
        <w:pStyle w:val="Heading3"/>
        <w:rPr>
          <w:lang w:val="en-US"/>
        </w:rPr>
      </w:pPr>
      <w:r w:rsidRPr="00BB5B8E">
        <w:rPr>
          <w:lang w:val="en-US"/>
        </w:rPr>
        <w:t xml:space="preserve">Beam layout </w:t>
      </w:r>
      <w:r>
        <w:rPr>
          <w:lang w:val="en-US"/>
        </w:rPr>
        <w:t>with narrow</w:t>
      </w:r>
      <w:r w:rsidRPr="00BB5B8E">
        <w:rPr>
          <w:lang w:val="en-US"/>
        </w:rPr>
        <w:t xml:space="preserve"> beam for access and data</w:t>
      </w:r>
    </w:p>
    <w:p w14:paraId="2C304797" w14:textId="720F29E4" w:rsidR="00CD1ED5" w:rsidRPr="00CD1ED5" w:rsidRDefault="006F481A" w:rsidP="00CD1ED5">
      <w:pPr>
        <w:rPr>
          <w:bCs/>
          <w:lang w:val="en-US"/>
        </w:rPr>
      </w:pPr>
      <w:r w:rsidRPr="006F481A">
        <w:rPr>
          <w:bCs/>
          <w:lang w:val="en-US"/>
        </w:rPr>
        <w:t>In each narrow beam, L1 signalling is scheduled and Cell-specific / beam specific  System Information in initial BWP#0. Data is also scheduled on the narrow beam in dedicated BWP#1,2,3</w:t>
      </w:r>
      <w:r w:rsidR="00CD1ED5">
        <w:rPr>
          <w:bCs/>
          <w:lang w:val="en-US"/>
        </w:rPr>
        <w:t xml:space="preserve">. </w:t>
      </w:r>
      <w:r>
        <w:rPr>
          <w:bCs/>
          <w:lang w:val="en-US"/>
        </w:rPr>
        <w:t xml:space="preserve">This way is compatible with </w:t>
      </w:r>
      <w:r w:rsidR="00CD1ED5" w:rsidRPr="00CD1ED5">
        <w:rPr>
          <w:bCs/>
          <w:lang w:val="en-US"/>
        </w:rPr>
        <w:t xml:space="preserve">Rel-15 NR </w:t>
      </w:r>
      <w:r>
        <w:rPr>
          <w:bCs/>
          <w:lang w:val="en-US"/>
        </w:rPr>
        <w:t>specifications</w:t>
      </w:r>
      <w:r w:rsidR="00CD1ED5" w:rsidRPr="00CD1ED5">
        <w:rPr>
          <w:bCs/>
          <w:lang w:val="en-US"/>
        </w:rPr>
        <w:t xml:space="preserve">, </w:t>
      </w:r>
      <w:r>
        <w:rPr>
          <w:bCs/>
          <w:lang w:val="en-US"/>
        </w:rPr>
        <w:t xml:space="preserve">where </w:t>
      </w:r>
      <w:r w:rsidR="00CD1ED5" w:rsidRPr="00CD1ED5">
        <w:rPr>
          <w:bCs/>
          <w:lang w:val="en-US"/>
        </w:rPr>
        <w:t xml:space="preserve">SSBs </w:t>
      </w:r>
      <w:r w:rsidR="00CD1ED5">
        <w:rPr>
          <w:bCs/>
          <w:lang w:val="en-US"/>
        </w:rPr>
        <w:t xml:space="preserve">can be </w:t>
      </w:r>
      <w:r w:rsidR="00CD1ED5" w:rsidRPr="00CD1ED5">
        <w:rPr>
          <w:bCs/>
          <w:lang w:val="en-US"/>
        </w:rPr>
        <w:t xml:space="preserve">transmitted on a set of </w:t>
      </w:r>
      <w:r w:rsidR="00CD1ED5">
        <w:rPr>
          <w:bCs/>
          <w:lang w:val="en-US"/>
        </w:rPr>
        <w:t>narrow</w:t>
      </w:r>
      <w:r w:rsidR="00CD1ED5" w:rsidRPr="00CD1ED5">
        <w:rPr>
          <w:bCs/>
          <w:lang w:val="en-US"/>
        </w:rPr>
        <w:t xml:space="preserve"> beams,  and CSI-RS </w:t>
      </w:r>
      <w:r w:rsidR="00CD1ED5">
        <w:rPr>
          <w:bCs/>
          <w:lang w:val="en-US"/>
        </w:rPr>
        <w:t>can also be</w:t>
      </w:r>
      <w:r w:rsidR="00CD1ED5" w:rsidRPr="00CD1ED5">
        <w:rPr>
          <w:bCs/>
          <w:lang w:val="en-US"/>
        </w:rPr>
        <w:t xml:space="preserve"> transmitted on narrow beams. The UE first sync</w:t>
      </w:r>
      <w:r>
        <w:rPr>
          <w:bCs/>
          <w:lang w:val="en-US"/>
        </w:rPr>
        <w:t>hronizes</w:t>
      </w:r>
      <w:r w:rsidR="00CD1ED5" w:rsidRPr="00CD1ED5">
        <w:rPr>
          <w:bCs/>
          <w:lang w:val="en-US"/>
        </w:rPr>
        <w:t xml:space="preserve"> on </w:t>
      </w:r>
      <w:r w:rsidR="00CD1ED5">
        <w:rPr>
          <w:bCs/>
          <w:lang w:val="en-US"/>
        </w:rPr>
        <w:t>narrow</w:t>
      </w:r>
      <w:r w:rsidR="00CD1ED5" w:rsidRPr="00CD1ED5">
        <w:rPr>
          <w:bCs/>
          <w:lang w:val="en-US"/>
        </w:rPr>
        <w:t xml:space="preserve"> beam</w:t>
      </w:r>
      <w:r w:rsidR="00CD1ED5">
        <w:rPr>
          <w:bCs/>
          <w:lang w:val="en-US"/>
        </w:rPr>
        <w:t xml:space="preserve"> with BWP#0</w:t>
      </w:r>
      <w:r w:rsidR="00CD1ED5" w:rsidRPr="00CD1ED5">
        <w:rPr>
          <w:bCs/>
          <w:lang w:val="en-US"/>
        </w:rPr>
        <w:t>, get</w:t>
      </w:r>
      <w:r>
        <w:rPr>
          <w:bCs/>
          <w:lang w:val="en-US"/>
        </w:rPr>
        <w:t>s</w:t>
      </w:r>
      <w:r w:rsidR="00CD1ED5" w:rsidRPr="00CD1ED5">
        <w:rPr>
          <w:bCs/>
          <w:lang w:val="en-US"/>
        </w:rPr>
        <w:t xml:space="preserve"> config</w:t>
      </w:r>
      <w:r w:rsidR="00CD1ED5">
        <w:rPr>
          <w:bCs/>
          <w:lang w:val="en-US"/>
        </w:rPr>
        <w:t>uration of other BWP#1,2,3 on the narrow beam</w:t>
      </w:r>
      <w:r w:rsidR="00CD1ED5" w:rsidRPr="00CD1ED5">
        <w:rPr>
          <w:bCs/>
          <w:lang w:val="en-US"/>
        </w:rPr>
        <w:t xml:space="preserve">, </w:t>
      </w:r>
      <w:r w:rsidR="00CD1ED5">
        <w:rPr>
          <w:bCs/>
          <w:lang w:val="en-US"/>
        </w:rPr>
        <w:t xml:space="preserve">and </w:t>
      </w:r>
      <w:r>
        <w:rPr>
          <w:bCs/>
          <w:lang w:val="en-US"/>
        </w:rPr>
        <w:t xml:space="preserve">can </w:t>
      </w:r>
      <w:r w:rsidR="00CD1ED5" w:rsidRPr="00CD1ED5">
        <w:rPr>
          <w:bCs/>
          <w:lang w:val="en-US"/>
        </w:rPr>
        <w:t xml:space="preserve">measure and report  CSI-RS on narrow beam. Then, as indicated </w:t>
      </w:r>
      <w:r>
        <w:rPr>
          <w:bCs/>
          <w:lang w:val="en-US"/>
        </w:rPr>
        <w:t xml:space="preserve">via DCI, the </w:t>
      </w:r>
      <w:r w:rsidR="00CD1ED5" w:rsidRPr="00CD1ED5">
        <w:rPr>
          <w:bCs/>
          <w:lang w:val="en-US"/>
        </w:rPr>
        <w:t xml:space="preserve">UE can switch  to </w:t>
      </w:r>
      <w:r w:rsidR="00CD1ED5">
        <w:rPr>
          <w:bCs/>
          <w:lang w:val="en-US"/>
        </w:rPr>
        <w:t xml:space="preserve">dedicated BWP#1,2,3 on narrow </w:t>
      </w:r>
      <w:r w:rsidR="00CD1ED5" w:rsidRPr="00CD1ED5">
        <w:rPr>
          <w:bCs/>
          <w:lang w:val="en-US"/>
        </w:rPr>
        <w:t xml:space="preserve">beam. </w:t>
      </w:r>
    </w:p>
    <w:p w14:paraId="539EE383" w14:textId="17421B16" w:rsidR="00BB5B8E" w:rsidRDefault="006F481A" w:rsidP="006F481A">
      <w:pPr>
        <w:rPr>
          <w:bCs/>
          <w:lang w:val="en-US"/>
        </w:rPr>
      </w:pPr>
      <w:r w:rsidRPr="006F481A">
        <w:rPr>
          <w:bCs/>
          <w:lang w:val="en-US"/>
        </w:rPr>
        <w:t>Total EIRP budget per narrow b</w:t>
      </w:r>
      <w:r>
        <w:rPr>
          <w:bCs/>
          <w:lang w:val="en-US"/>
        </w:rPr>
        <w:t xml:space="preserve">eamspot is for access and data. The </w:t>
      </w:r>
      <w:r w:rsidRPr="006F481A">
        <w:rPr>
          <w:bCs/>
          <w:lang w:val="en-US"/>
        </w:rPr>
        <w:t xml:space="preserve">C/N assumption </w:t>
      </w:r>
      <w:r>
        <w:rPr>
          <w:bCs/>
          <w:lang w:val="en-US"/>
        </w:rPr>
        <w:t>is</w:t>
      </w:r>
      <w:r w:rsidRPr="006F481A">
        <w:rPr>
          <w:bCs/>
          <w:lang w:val="en-US"/>
        </w:rPr>
        <w:t xml:space="preserve"> C</w:t>
      </w:r>
      <w:r>
        <w:rPr>
          <w:bCs/>
          <w:lang w:val="en-US"/>
        </w:rPr>
        <w:t xml:space="preserve">/N(access)  is same as C/N(data). </w:t>
      </w:r>
      <w:r w:rsidRPr="006F481A">
        <w:rPr>
          <w:bCs/>
          <w:lang w:val="en-US"/>
        </w:rPr>
        <w:t>Antenna gain G is same for access or data. There is no EIRP splitting. The amount of frequency-time resources scheduled for access on BWP#0 and data on BWP#1,2,3 is up to gNB configuration</w:t>
      </w:r>
      <w:r>
        <w:rPr>
          <w:bCs/>
          <w:lang w:val="en-US"/>
        </w:rPr>
        <w:t>.</w:t>
      </w:r>
    </w:p>
    <w:p w14:paraId="30EC6C75" w14:textId="0B2A26A5" w:rsidR="006F481A" w:rsidRDefault="006F481A" w:rsidP="006F481A">
      <w:pPr>
        <w:rPr>
          <w:bCs/>
          <w:lang w:val="en-US"/>
        </w:rPr>
      </w:pPr>
      <w:r>
        <w:rPr>
          <w:bCs/>
          <w:lang w:val="en-US"/>
        </w:rPr>
        <w:lastRenderedPageBreak/>
        <w:t xml:space="preserve">This option is less efficient from L1 and SI overhead viewpoint. </w:t>
      </w:r>
      <w:r w:rsidRPr="006F481A">
        <w:rPr>
          <w:bCs/>
          <w:lang w:val="en-US"/>
        </w:rPr>
        <w:t xml:space="preserve">The L1 + SI overhead for access is in BWP#0 as in rel-15 NR with data on BWP#1,2,3. </w:t>
      </w:r>
      <w:r>
        <w:rPr>
          <w:bCs/>
          <w:lang w:val="en-US"/>
        </w:rPr>
        <w:t xml:space="preserve">There is no scaling by 1/(N+1) compare to wide beam for access as discussed in previous section. For example, assuming L1 overhead and System Information is 20% on narrow beam for access and data, then the total L1 overhead and cell-specific System Information for the satellite is 20% regardless of the number of beam spots per satellite N. If wider beam for access is used, assuming same 20% overhead for L1 signalling and data on wide beam and N=10 beam spots per satellite cell, the total overhead scales by 1/10 and can be 2%.   </w:t>
      </w:r>
    </w:p>
    <w:p w14:paraId="6E4AF113" w14:textId="1483B169" w:rsidR="002F4ABC" w:rsidRDefault="002F4ABC" w:rsidP="002F4ABC">
      <w:pPr>
        <w:rPr>
          <w:bCs/>
          <w:i/>
          <w:lang w:val="en-US"/>
        </w:rPr>
      </w:pPr>
      <w:r w:rsidRPr="003848DB">
        <w:rPr>
          <w:b/>
          <w:bCs/>
          <w:i/>
          <w:lang w:val="en-US"/>
        </w:rPr>
        <w:t xml:space="preserve">Observation </w:t>
      </w:r>
      <w:r>
        <w:rPr>
          <w:b/>
          <w:bCs/>
          <w:i/>
          <w:lang w:val="en-US"/>
        </w:rPr>
        <w:t>4</w:t>
      </w:r>
      <w:r w:rsidRPr="003848DB">
        <w:rPr>
          <w:bCs/>
          <w:i/>
          <w:lang w:val="en-US"/>
        </w:rPr>
        <w:t xml:space="preserve">: </w:t>
      </w:r>
      <w:r>
        <w:rPr>
          <w:bCs/>
          <w:i/>
          <w:lang w:val="en-US"/>
        </w:rPr>
        <w:t xml:space="preserve">Narrow </w:t>
      </w:r>
      <w:r w:rsidRPr="002F4ABC">
        <w:rPr>
          <w:bCs/>
          <w:i/>
          <w:lang w:val="en-US"/>
        </w:rPr>
        <w:t xml:space="preserve">beam transmitting </w:t>
      </w:r>
      <w:r>
        <w:rPr>
          <w:bCs/>
          <w:i/>
          <w:lang w:val="en-US"/>
        </w:rPr>
        <w:t xml:space="preserve">initial </w:t>
      </w:r>
      <w:r w:rsidRPr="002F4ABC">
        <w:rPr>
          <w:bCs/>
          <w:i/>
          <w:lang w:val="en-US"/>
        </w:rPr>
        <w:t>BWP#0 and dedicated BWP#1,2,3 for data transmission allows to re-use Rel-15 Beam management mechanisms</w:t>
      </w:r>
    </w:p>
    <w:p w14:paraId="00F2FDB7" w14:textId="77777777" w:rsidR="006F481A" w:rsidRPr="006C4883" w:rsidRDefault="006F481A" w:rsidP="006F481A">
      <w:pPr>
        <w:rPr>
          <w:bCs/>
          <w:lang w:val="en-US"/>
        </w:rPr>
      </w:pPr>
    </w:p>
    <w:p w14:paraId="25912CAA" w14:textId="2315858F" w:rsidR="00FB0773" w:rsidRDefault="00FB0773" w:rsidP="00F70709">
      <w:pPr>
        <w:pStyle w:val="Heading2"/>
        <w:rPr>
          <w:lang w:val="en-US"/>
        </w:rPr>
      </w:pPr>
      <w:r>
        <w:rPr>
          <w:lang w:val="en-US"/>
        </w:rPr>
        <w:t xml:space="preserve">Options </w:t>
      </w:r>
      <w:r w:rsidR="00F70709">
        <w:rPr>
          <w:lang w:val="en-US"/>
        </w:rPr>
        <w:t xml:space="preserve">for </w:t>
      </w:r>
      <w:r w:rsidR="00F70709" w:rsidRPr="00F70709">
        <w:rPr>
          <w:lang w:val="en-US"/>
        </w:rPr>
        <w:t xml:space="preserve">cell/BWP </w:t>
      </w:r>
      <w:r w:rsidR="00F70709">
        <w:rPr>
          <w:lang w:val="en-US"/>
        </w:rPr>
        <w:t xml:space="preserve">mapping </w:t>
      </w:r>
    </w:p>
    <w:p w14:paraId="55E90995" w14:textId="692F0DFC" w:rsidR="006C4883" w:rsidRDefault="00A47F4B" w:rsidP="006C4883">
      <w:pPr>
        <w:rPr>
          <w:bCs/>
          <w:lang w:val="en-US"/>
        </w:rPr>
      </w:pPr>
      <w:r>
        <w:rPr>
          <w:bCs/>
          <w:lang w:val="en-US"/>
        </w:rPr>
        <w:t xml:space="preserve">There were 4 options considered for the </w:t>
      </w:r>
      <w:r w:rsidRPr="006C4883">
        <w:rPr>
          <w:bCs/>
          <w:lang w:val="en-US"/>
        </w:rPr>
        <w:t xml:space="preserve">cell/BWP/frequency mapping </w:t>
      </w:r>
      <w:r>
        <w:rPr>
          <w:bCs/>
          <w:lang w:val="en-US"/>
        </w:rPr>
        <w:t>in RAN1#103e as illustrated in Figure 3 [3].</w:t>
      </w:r>
    </w:p>
    <w:p w14:paraId="334BDB34" w14:textId="77777777" w:rsidR="00CA4AAD" w:rsidRPr="006C4883" w:rsidRDefault="00CA4AAD" w:rsidP="00CA4AAD">
      <w:pPr>
        <w:rPr>
          <w:bCs/>
          <w:lang w:val="en-US"/>
        </w:rPr>
      </w:pPr>
    </w:p>
    <w:p w14:paraId="002531B6" w14:textId="165B0AD4" w:rsidR="00CA4AAD" w:rsidRDefault="00CA4AAD" w:rsidP="00F70709">
      <w:pPr>
        <w:jc w:val="center"/>
      </w:pPr>
      <w:r>
        <w:object w:dxaOrig="9996" w:dyaOrig="5424" w14:anchorId="44AF5BA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7.2pt;height:138.15pt" o:ole="">
            <v:imagedata r:id="rId16" o:title=""/>
          </v:shape>
          <o:OLEObject Type="Embed" ProgID="Visio.Drawing.15" ShapeID="_x0000_i1025" DrawAspect="Content" ObjectID="_1672236618" r:id="rId17"/>
        </w:object>
      </w:r>
    </w:p>
    <w:p w14:paraId="1E7B2833" w14:textId="3AF21661" w:rsidR="00FB0773" w:rsidRPr="00754649" w:rsidRDefault="003848DB" w:rsidP="00754649">
      <w:pPr>
        <w:jc w:val="center"/>
        <w:rPr>
          <w:b/>
          <w:i/>
        </w:rPr>
      </w:pPr>
      <w:r>
        <w:rPr>
          <w:b/>
          <w:i/>
        </w:rPr>
        <w:t>Figure 3</w:t>
      </w:r>
      <w:r w:rsidR="00754649" w:rsidRPr="00754649">
        <w:rPr>
          <w:b/>
          <w:i/>
        </w:rPr>
        <w:t>: Options for cell/BWP mapping</w:t>
      </w:r>
    </w:p>
    <w:p w14:paraId="308B50E8" w14:textId="77777777" w:rsidR="00754649" w:rsidRDefault="00754649" w:rsidP="00CA4AAD"/>
    <w:p w14:paraId="6ACF9011" w14:textId="588FD07F" w:rsidR="00A47F4B" w:rsidRDefault="00A47F4B" w:rsidP="00A47F4B">
      <w:r>
        <w:t xml:space="preserve">Option 1 assumes one beam per cell and corresponds to Option b </w:t>
      </w:r>
      <w:r w:rsidR="00060BF8">
        <w:t>for PCI/SSBs</w:t>
      </w:r>
      <w:r w:rsidR="008E52CB">
        <w:t xml:space="preserve">. </w:t>
      </w:r>
      <w:r w:rsidR="00060BF8">
        <w:t>With</w:t>
      </w:r>
      <w:r>
        <w:t xml:space="preserve"> only one beam per cell</w:t>
      </w:r>
      <w:r w:rsidR="00060BF8">
        <w:t xml:space="preserve">, there can be only one initial </w:t>
      </w:r>
      <w:r>
        <w:t>BWP#0. Rel-15 NR mechanisms can be reused for this Option 1 without any enhancements needed.</w:t>
      </w:r>
    </w:p>
    <w:p w14:paraId="50849DE0" w14:textId="522C8BC8" w:rsidR="00FD4E56" w:rsidRDefault="00A47F4B" w:rsidP="00A47F4B">
      <w:r>
        <w:t>The other options 2, 3, and 4 are assumed to be without a</w:t>
      </w:r>
      <w:r w:rsidR="00935E87">
        <w:t xml:space="preserve"> wider </w:t>
      </w:r>
      <w:r>
        <w:t xml:space="preserve">beam with initial BWP#0. </w:t>
      </w:r>
      <w:r w:rsidR="00BC64AD" w:rsidRPr="00BC64AD">
        <w:t>Opt</w:t>
      </w:r>
      <w:r w:rsidR="00BC64AD">
        <w:t xml:space="preserve">ion 2 with </w:t>
      </w:r>
      <w:r w:rsidR="00BC64AD" w:rsidRPr="00BC64AD">
        <w:t>beams on the same BWP grouped as a cell</w:t>
      </w:r>
      <w:r w:rsidR="008E52CB">
        <w:t xml:space="preserve"> with one PCI mapped per cell</w:t>
      </w:r>
      <w:r w:rsidR="00BC64AD">
        <w:t xml:space="preserve">, </w:t>
      </w:r>
      <w:r w:rsidR="00BC64AD" w:rsidRPr="00BC64AD">
        <w:t>Opt</w:t>
      </w:r>
      <w:r w:rsidR="00BC64AD">
        <w:t>ion</w:t>
      </w:r>
      <w:r w:rsidR="00BC64AD" w:rsidRPr="00BC64AD">
        <w:t xml:space="preserve"> 3 </w:t>
      </w:r>
      <w:r w:rsidR="00BC64AD">
        <w:t xml:space="preserve">with </w:t>
      </w:r>
      <w:r w:rsidR="00BC64AD" w:rsidRPr="00BC64AD">
        <w:t>beams in proximity grouped as a cell</w:t>
      </w:r>
      <w:r w:rsidR="008E52CB">
        <w:t xml:space="preserve"> with one PCI mapped to multiple beams/BWPs</w:t>
      </w:r>
      <w:r w:rsidR="00BC64AD">
        <w:t xml:space="preserve">, and </w:t>
      </w:r>
      <w:r w:rsidR="00BC64AD" w:rsidRPr="00BC64AD">
        <w:t>Opt</w:t>
      </w:r>
      <w:r w:rsidR="00BC64AD">
        <w:t>ion</w:t>
      </w:r>
      <w:r w:rsidR="00BC64AD" w:rsidRPr="00BC64AD">
        <w:t xml:space="preserve"> 4 </w:t>
      </w:r>
      <w:r w:rsidR="00BC64AD">
        <w:t xml:space="preserve">with all beams grouped as a cell </w:t>
      </w:r>
      <w:r w:rsidR="008E52CB">
        <w:t xml:space="preserve">with one PCI mapped per cell </w:t>
      </w:r>
      <w:r w:rsidR="00BC64AD">
        <w:t xml:space="preserve">are all options with multiple beams per </w:t>
      </w:r>
      <w:r w:rsidR="00BC64AD" w:rsidRPr="00BC64AD">
        <w:t xml:space="preserve">cell </w:t>
      </w:r>
      <w:r w:rsidR="00BC64AD">
        <w:t xml:space="preserve">corresponding to Option a </w:t>
      </w:r>
      <w:r w:rsidR="00060BF8">
        <w:t>for PCI/SSBs</w:t>
      </w:r>
      <w:r w:rsidR="00BC64AD">
        <w:t>.</w:t>
      </w:r>
      <w:r w:rsidR="00FD4E56">
        <w:t xml:space="preserve"> The main points of discussion for these Option 2, 3, and 4 are:</w:t>
      </w:r>
    </w:p>
    <w:p w14:paraId="7A4FAA7C" w14:textId="71BD0372" w:rsidR="00777E6C" w:rsidRDefault="00060BF8" w:rsidP="00777E6C">
      <w:pPr>
        <w:pStyle w:val="ListParagraph"/>
        <w:numPr>
          <w:ilvl w:val="0"/>
          <w:numId w:val="5"/>
        </w:numPr>
      </w:pPr>
      <w:r>
        <w:t>Whether t</w:t>
      </w:r>
      <w:r w:rsidR="00777E6C">
        <w:t xml:space="preserve">here is no </w:t>
      </w:r>
      <w:r w:rsidR="00935E87">
        <w:t>wider</w:t>
      </w:r>
      <w:r w:rsidR="00777E6C">
        <w:t xml:space="preserve"> beam </w:t>
      </w:r>
      <w:r>
        <w:t xml:space="preserve">with </w:t>
      </w:r>
      <w:r w:rsidR="00777E6C">
        <w:t>BWP#0 configured</w:t>
      </w:r>
      <w:r>
        <w:t>.</w:t>
      </w:r>
    </w:p>
    <w:p w14:paraId="56C4A14E" w14:textId="74EEE092" w:rsidR="00777E6C" w:rsidRPr="00935E87" w:rsidRDefault="00777E6C" w:rsidP="00CA4AAD">
      <w:pPr>
        <w:pStyle w:val="ListParagraph"/>
        <w:numPr>
          <w:ilvl w:val="0"/>
          <w:numId w:val="5"/>
        </w:numPr>
      </w:pPr>
      <w:r>
        <w:t>Alternatives for SSB arrangements</w:t>
      </w:r>
      <w:r w:rsidR="00060BF8">
        <w:t>.</w:t>
      </w:r>
      <w:r>
        <w:t xml:space="preserve"> </w:t>
      </w:r>
      <w:r w:rsidR="00060BF8" w:rsidRPr="00935E87">
        <w:rPr>
          <w:bCs/>
        </w:rPr>
        <w:t> </w:t>
      </w:r>
      <w:r w:rsidR="00FD4E56">
        <w:t xml:space="preserve"> </w:t>
      </w:r>
    </w:p>
    <w:p w14:paraId="702E68C6" w14:textId="6700CF08" w:rsidR="00777E6C" w:rsidRDefault="00777E6C" w:rsidP="00CA4AAD">
      <w:r>
        <w:t>In 2), the implications of the mapping of SSBs per beam as illustrated in Figure 4 are further discussed.</w:t>
      </w:r>
    </w:p>
    <w:p w14:paraId="08530EA8" w14:textId="77777777" w:rsidR="00CA4AAD" w:rsidRPr="006C4883" w:rsidRDefault="00CA4AAD" w:rsidP="00754649">
      <w:pPr>
        <w:jc w:val="center"/>
        <w:rPr>
          <w:b/>
          <w:bCs/>
          <w:lang w:val="en-US"/>
        </w:rPr>
      </w:pPr>
      <w:r w:rsidRPr="006C4883">
        <w:rPr>
          <w:b/>
          <w:bCs/>
          <w:noProof/>
          <w:lang w:val="en-US"/>
        </w:rPr>
        <w:drawing>
          <wp:inline distT="0" distB="0" distL="0" distR="0" wp14:anchorId="07EA89AA" wp14:editId="232E9379">
            <wp:extent cx="3843086" cy="1610416"/>
            <wp:effectExtent l="0" t="0" r="5080" b="8890"/>
            <wp:docPr id="5" name="Picture 5" descr="cid:image002.png@01D6A3B6.C7FD9B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id:image002.png@01D6A3B6.C7FD9B30"/>
                    <pic:cNvPicPr>
                      <a:picLocks noChangeAspect="1" noChangeArrowheads="1"/>
                    </pic:cNvPicPr>
                  </pic:nvPicPr>
                  <pic:blipFill>
                    <a:blip r:embed="rId18" r:link="rId19">
                      <a:extLst>
                        <a:ext uri="{28A0092B-C50C-407E-A947-70E740481C1C}">
                          <a14:useLocalDpi xmlns:a14="http://schemas.microsoft.com/office/drawing/2010/main" val="0"/>
                        </a:ext>
                      </a:extLst>
                    </a:blip>
                    <a:srcRect/>
                    <a:stretch>
                      <a:fillRect/>
                    </a:stretch>
                  </pic:blipFill>
                  <pic:spPr bwMode="auto">
                    <a:xfrm>
                      <a:off x="0" y="0"/>
                      <a:ext cx="3854780" cy="1615316"/>
                    </a:xfrm>
                    <a:prstGeom prst="rect">
                      <a:avLst/>
                    </a:prstGeom>
                    <a:noFill/>
                    <a:ln>
                      <a:noFill/>
                    </a:ln>
                  </pic:spPr>
                </pic:pic>
              </a:graphicData>
            </a:graphic>
          </wp:inline>
        </w:drawing>
      </w:r>
    </w:p>
    <w:p w14:paraId="146D1351" w14:textId="2AFD5EBE" w:rsidR="00CA4AAD" w:rsidRPr="00754649" w:rsidRDefault="003848DB" w:rsidP="00754649">
      <w:pPr>
        <w:jc w:val="center"/>
        <w:rPr>
          <w:b/>
          <w:bCs/>
          <w:i/>
          <w:lang w:val="en-US"/>
        </w:rPr>
      </w:pPr>
      <w:r>
        <w:rPr>
          <w:b/>
          <w:bCs/>
          <w:i/>
          <w:lang w:val="en-US"/>
        </w:rPr>
        <w:t>Figure 4</w:t>
      </w:r>
      <w:r w:rsidR="00754649" w:rsidRPr="00754649">
        <w:rPr>
          <w:b/>
          <w:bCs/>
          <w:i/>
          <w:lang w:val="en-US"/>
        </w:rPr>
        <w:t>: Alternatives for the mapping of SSBs per beam.</w:t>
      </w:r>
    </w:p>
    <w:p w14:paraId="74482639" w14:textId="77777777" w:rsidR="00754649" w:rsidRDefault="00754649" w:rsidP="006C4883">
      <w:pPr>
        <w:rPr>
          <w:bCs/>
          <w:lang w:val="en-US"/>
        </w:rPr>
      </w:pPr>
    </w:p>
    <w:p w14:paraId="7C1E2B74" w14:textId="77777777" w:rsidR="000631C2" w:rsidRDefault="000631C2" w:rsidP="006C4883">
      <w:pPr>
        <w:rPr>
          <w:bCs/>
          <w:lang w:val="en-US"/>
        </w:rPr>
      </w:pPr>
    </w:p>
    <w:p w14:paraId="45F04585" w14:textId="77777777" w:rsidR="007E56A8" w:rsidRPr="00754649" w:rsidRDefault="007E56A8" w:rsidP="007E56A8">
      <w:pPr>
        <w:rPr>
          <w:bCs/>
          <w:u w:val="single"/>
          <w:lang w:val="en-US"/>
        </w:rPr>
      </w:pPr>
      <w:r>
        <w:rPr>
          <w:bCs/>
          <w:u w:val="single"/>
          <w:lang w:val="en-US"/>
        </w:rPr>
        <w:t>Alt.1</w:t>
      </w:r>
      <w:r w:rsidRPr="00754649">
        <w:rPr>
          <w:bCs/>
          <w:u w:val="single"/>
          <w:lang w:val="en-US"/>
        </w:rPr>
        <w:t xml:space="preserve"> </w:t>
      </w:r>
      <w:r w:rsidRPr="007E56A8">
        <w:rPr>
          <w:bCs/>
          <w:u w:val="single"/>
          <w:lang w:val="en-US"/>
        </w:rPr>
        <w:t>SSB transmissions</w:t>
      </w:r>
      <w:r>
        <w:rPr>
          <w:bCs/>
          <w:u w:val="single"/>
          <w:lang w:val="en-US"/>
        </w:rPr>
        <w:t xml:space="preserve"> in same frequency interval</w:t>
      </w:r>
    </w:p>
    <w:p w14:paraId="04D7193D" w14:textId="1FC7C5D9" w:rsidR="003848DB" w:rsidRDefault="00FA289B" w:rsidP="007E56A8">
      <w:pPr>
        <w:rPr>
          <w:bCs/>
        </w:rPr>
      </w:pPr>
      <w:r>
        <w:rPr>
          <w:bCs/>
        </w:rPr>
        <w:t>E</w:t>
      </w:r>
      <w:r w:rsidR="003848DB">
        <w:rPr>
          <w:bCs/>
        </w:rPr>
        <w:t>ach beam is mapped to a BWP</w:t>
      </w:r>
      <w:r w:rsidR="00060BF8">
        <w:rPr>
          <w:bCs/>
        </w:rPr>
        <w:t>. As in Rel-15 NR</w:t>
      </w:r>
      <w:r w:rsidR="003848DB">
        <w:rPr>
          <w:bCs/>
        </w:rPr>
        <w:t xml:space="preserve">, </w:t>
      </w:r>
      <w:r w:rsidR="008333C5">
        <w:rPr>
          <w:bCs/>
        </w:rPr>
        <w:t xml:space="preserve">time-multiplexed </w:t>
      </w:r>
      <w:r w:rsidR="003848DB">
        <w:rPr>
          <w:bCs/>
        </w:rPr>
        <w:t>SSB transm</w:t>
      </w:r>
      <w:r w:rsidR="00FE3AA5">
        <w:rPr>
          <w:bCs/>
        </w:rPr>
        <w:t xml:space="preserve">issions, COREST#0, and SIB1 are in the initial </w:t>
      </w:r>
      <w:r w:rsidR="003848DB">
        <w:rPr>
          <w:bCs/>
        </w:rPr>
        <w:t>BWP</w:t>
      </w:r>
      <w:r w:rsidR="00FE3AA5">
        <w:rPr>
          <w:bCs/>
        </w:rPr>
        <w:t>#0</w:t>
      </w:r>
      <w:r w:rsidR="003848DB">
        <w:rPr>
          <w:bCs/>
        </w:rPr>
        <w:t xml:space="preserve"> </w:t>
      </w:r>
      <w:r w:rsidR="00FE3AA5">
        <w:rPr>
          <w:bCs/>
        </w:rPr>
        <w:t>in</w:t>
      </w:r>
      <w:r w:rsidR="003848DB">
        <w:rPr>
          <w:bCs/>
        </w:rPr>
        <w:t xml:space="preserve"> the same frequency interval. </w:t>
      </w:r>
      <w:r>
        <w:rPr>
          <w:bCs/>
        </w:rPr>
        <w:t xml:space="preserve">The devices determine the SSB index in time </w:t>
      </w:r>
      <w:r w:rsidR="00FE3AA5">
        <w:rPr>
          <w:bCs/>
        </w:rPr>
        <w:t xml:space="preserve">by measuring the SSB mapped to </w:t>
      </w:r>
      <w:r>
        <w:rPr>
          <w:bCs/>
        </w:rPr>
        <w:t>the best beam</w:t>
      </w:r>
      <w:r w:rsidR="00FE4B37">
        <w:rPr>
          <w:bCs/>
        </w:rPr>
        <w:t xml:space="preserve">, </w:t>
      </w:r>
      <w:r w:rsidR="00FE4B37" w:rsidRPr="00FE4B37">
        <w:rPr>
          <w:bCs/>
        </w:rPr>
        <w:t xml:space="preserve">obtain the time multiplexing pattern and resource blocks </w:t>
      </w:r>
      <w:r w:rsidR="00FE4B37">
        <w:rPr>
          <w:bCs/>
        </w:rPr>
        <w:t>broadcast i</w:t>
      </w:r>
      <w:r w:rsidR="00FE4B37" w:rsidRPr="00FE4B37">
        <w:rPr>
          <w:bCs/>
        </w:rPr>
        <w:t xml:space="preserve">n MIB </w:t>
      </w:r>
      <w:r w:rsidR="00FE4B37">
        <w:rPr>
          <w:bCs/>
        </w:rPr>
        <w:t xml:space="preserve">on PBCH </w:t>
      </w:r>
      <w:r w:rsidR="00FE4B37" w:rsidRPr="00FE4B37">
        <w:rPr>
          <w:bCs/>
        </w:rPr>
        <w:t>for the corresponding CORESET#0</w:t>
      </w:r>
      <w:r>
        <w:rPr>
          <w:bCs/>
        </w:rPr>
        <w:t xml:space="preserve">, decode the SIB1 </w:t>
      </w:r>
      <w:r w:rsidRPr="003848DB">
        <w:rPr>
          <w:bCs/>
        </w:rPr>
        <w:t>to get config</w:t>
      </w:r>
      <w:r>
        <w:rPr>
          <w:bCs/>
        </w:rPr>
        <w:t>uration</w:t>
      </w:r>
      <w:r w:rsidRPr="003848DB">
        <w:rPr>
          <w:bCs/>
        </w:rPr>
        <w:t xml:space="preserve"> for CORESET type 0A (for SI acquisition), type 1 (for RA</w:t>
      </w:r>
      <w:r>
        <w:rPr>
          <w:bCs/>
        </w:rPr>
        <w:t xml:space="preserve">R and CR), type 2 (for paging) and get the UE-specific CORESET configuration. </w:t>
      </w:r>
      <w:r w:rsidR="003848DB">
        <w:rPr>
          <w:bCs/>
        </w:rPr>
        <w:t xml:space="preserve">This is simpler way, as it does not require retuning of frequency in the device. </w:t>
      </w:r>
      <w:r w:rsidR="00FE4B37" w:rsidRPr="00FE4B37">
        <w:rPr>
          <w:bCs/>
        </w:rPr>
        <w:t>DCI signaling is used to indicate BWP switching, where the BWP switching in UL and DL is separately configured.  UE needs first to switch from the serving BWP#x to initial BWP#0, then switch to BWP#Y. UE can fall back to initial BWP</w:t>
      </w:r>
      <w:r w:rsidR="00FE4B37">
        <w:rPr>
          <w:bCs/>
        </w:rPr>
        <w:t>#0</w:t>
      </w:r>
      <w:r w:rsidR="00FE4B37" w:rsidRPr="00FE4B37">
        <w:rPr>
          <w:bCs/>
        </w:rPr>
        <w:t xml:space="preserve"> if the switching fails.</w:t>
      </w:r>
    </w:p>
    <w:p w14:paraId="60860CE5" w14:textId="6BEE08E0" w:rsidR="00060BF8" w:rsidRPr="00060BF8" w:rsidRDefault="003848DB" w:rsidP="006C4883">
      <w:pPr>
        <w:rPr>
          <w:bCs/>
        </w:rPr>
      </w:pPr>
      <w:r w:rsidRPr="003848DB">
        <w:rPr>
          <w:bCs/>
        </w:rPr>
        <w:t xml:space="preserve">A LEO satellite cell may have </w:t>
      </w:r>
      <w:r>
        <w:rPr>
          <w:bCs/>
        </w:rPr>
        <w:t>m beams, where there can x</w:t>
      </w:r>
      <w:r w:rsidRPr="003848DB">
        <w:rPr>
          <w:bCs/>
        </w:rPr>
        <w:t>10 to x100 of beams</w:t>
      </w:r>
      <w:r w:rsidR="00FA289B">
        <w:rPr>
          <w:bCs/>
        </w:rPr>
        <w:t>, which is expected to have two drawbacks – (i)</w:t>
      </w:r>
      <w:r w:rsidRPr="003848DB">
        <w:rPr>
          <w:bCs/>
        </w:rPr>
        <w:t xml:space="preserve"> The initial access time could be longer</w:t>
      </w:r>
      <w:r w:rsidR="00060BF8">
        <w:rPr>
          <w:bCs/>
        </w:rPr>
        <w:t xml:space="preserve"> </w:t>
      </w:r>
      <w:r w:rsidRPr="003848DB">
        <w:rPr>
          <w:bCs/>
        </w:rPr>
        <w:t xml:space="preserve">and </w:t>
      </w:r>
      <w:r w:rsidR="00FA289B">
        <w:rPr>
          <w:bCs/>
        </w:rPr>
        <w:t xml:space="preserve">(ii) </w:t>
      </w:r>
      <w:r w:rsidR="00060BF8">
        <w:rPr>
          <w:bCs/>
        </w:rPr>
        <w:t xml:space="preserve">CORESET#0, </w:t>
      </w:r>
      <w:r w:rsidRPr="003848DB">
        <w:rPr>
          <w:bCs/>
        </w:rPr>
        <w:t>SIB1 overhead, SI overhead, Paging overhead</w:t>
      </w:r>
      <w:r>
        <w:rPr>
          <w:bCs/>
        </w:rPr>
        <w:t>.</w:t>
      </w:r>
      <w:r w:rsidR="00060BF8">
        <w:rPr>
          <w:bCs/>
        </w:rPr>
        <w:t xml:space="preserve"> </w:t>
      </w:r>
      <w:r>
        <w:rPr>
          <w:bCs/>
          <w:lang w:val="en-US"/>
        </w:rPr>
        <w:t>I</w:t>
      </w:r>
      <w:r w:rsidR="007E56A8" w:rsidRPr="006C4883">
        <w:rPr>
          <w:bCs/>
          <w:lang w:val="en-US"/>
        </w:rPr>
        <w:t xml:space="preserve">t </w:t>
      </w:r>
      <w:r>
        <w:rPr>
          <w:bCs/>
          <w:lang w:val="en-US"/>
        </w:rPr>
        <w:t xml:space="preserve">could </w:t>
      </w:r>
      <w:r w:rsidR="007E56A8" w:rsidRPr="006C4883">
        <w:rPr>
          <w:bCs/>
          <w:lang w:val="en-US"/>
        </w:rPr>
        <w:t xml:space="preserve">be beneficial to reduce SI reading by sharing more common SIs between BWPs. </w:t>
      </w:r>
    </w:p>
    <w:p w14:paraId="3C82472F" w14:textId="5FFB6CF4" w:rsidR="00754649" w:rsidRPr="00754649" w:rsidRDefault="007E56A8" w:rsidP="006C4883">
      <w:pPr>
        <w:rPr>
          <w:bCs/>
          <w:u w:val="single"/>
          <w:lang w:val="en-US"/>
        </w:rPr>
      </w:pPr>
      <w:r>
        <w:rPr>
          <w:bCs/>
          <w:u w:val="single"/>
          <w:lang w:val="en-US"/>
        </w:rPr>
        <w:t xml:space="preserve">Alt.2 </w:t>
      </w:r>
      <w:r w:rsidR="00754649" w:rsidRPr="00754649">
        <w:rPr>
          <w:bCs/>
          <w:u w:val="single"/>
        </w:rPr>
        <w:t>SSB</w:t>
      </w:r>
      <w:r>
        <w:rPr>
          <w:bCs/>
          <w:u w:val="single"/>
        </w:rPr>
        <w:t xml:space="preserve"> transmissions</w:t>
      </w:r>
      <w:r w:rsidRPr="00060BF8">
        <w:rPr>
          <w:u w:val="single"/>
        </w:rPr>
        <w:t xml:space="preserve"> </w:t>
      </w:r>
      <w:r w:rsidR="00060BF8" w:rsidRPr="00060BF8">
        <w:rPr>
          <w:u w:val="single"/>
        </w:rPr>
        <w:t>in different frequency intervals</w:t>
      </w:r>
      <w:r w:rsidR="00060BF8" w:rsidRPr="00060BF8">
        <w:rPr>
          <w:bCs/>
          <w:u w:val="single"/>
        </w:rPr>
        <w:t>.</w:t>
      </w:r>
      <w:r>
        <w:rPr>
          <w:bCs/>
          <w:u w:val="single"/>
        </w:rPr>
        <w:t xml:space="preserve"> </w:t>
      </w:r>
    </w:p>
    <w:p w14:paraId="26BCC37F" w14:textId="77777777" w:rsidR="00060BF8" w:rsidRDefault="00FA289B" w:rsidP="006C4883">
      <w:pPr>
        <w:rPr>
          <w:bCs/>
        </w:rPr>
      </w:pPr>
      <w:r>
        <w:rPr>
          <w:bCs/>
        </w:rPr>
        <w:t xml:space="preserve">Each beam is mapped to a BWP. A fundamental deviation from NR mechanisms is that SSB transmissions may take place in different BWPs and in different frequency intervals. </w:t>
      </w:r>
      <w:r w:rsidR="003848DB">
        <w:rPr>
          <w:bCs/>
        </w:rPr>
        <w:t>The d</w:t>
      </w:r>
      <w:r w:rsidR="006C4883" w:rsidRPr="006C4883">
        <w:rPr>
          <w:bCs/>
        </w:rPr>
        <w:t xml:space="preserve">evice </w:t>
      </w:r>
      <w:r w:rsidR="003848DB">
        <w:rPr>
          <w:bCs/>
        </w:rPr>
        <w:t>within coverage of a beam mapped to</w:t>
      </w:r>
      <w:r w:rsidR="006C4883" w:rsidRPr="006C4883">
        <w:rPr>
          <w:bCs/>
        </w:rPr>
        <w:t xml:space="preserve"> BWP#X will need to re-tune its frequency to make measurements on BWP#Y, then re</w:t>
      </w:r>
      <w:r w:rsidR="003848DB">
        <w:rPr>
          <w:bCs/>
        </w:rPr>
        <w:t>tune its frequency back to BWP#X</w:t>
      </w:r>
      <w:r w:rsidR="006C4883" w:rsidRPr="006C4883">
        <w:rPr>
          <w:bCs/>
        </w:rPr>
        <w:t xml:space="preserve"> and report measurements to gNB. </w:t>
      </w:r>
    </w:p>
    <w:p w14:paraId="3840A361" w14:textId="4640D3D3" w:rsidR="006C4883" w:rsidRDefault="003848DB" w:rsidP="006C4883">
      <w:pPr>
        <w:rPr>
          <w:bCs/>
          <w:lang w:val="en-US"/>
        </w:rPr>
      </w:pPr>
      <w:r>
        <w:rPr>
          <w:bCs/>
          <w:lang w:val="en-US"/>
        </w:rPr>
        <w:t>Based on the above discussions we make the following observations:</w:t>
      </w:r>
    </w:p>
    <w:p w14:paraId="6D56E475" w14:textId="4E15F088" w:rsidR="003848DB" w:rsidRPr="003848DB" w:rsidRDefault="00060BF8" w:rsidP="006C4883">
      <w:pPr>
        <w:rPr>
          <w:bCs/>
          <w:i/>
          <w:lang w:val="en-US"/>
        </w:rPr>
      </w:pPr>
      <w:r w:rsidRPr="00060BF8">
        <w:rPr>
          <w:b/>
          <w:bCs/>
          <w:i/>
          <w:lang w:val="en-US"/>
        </w:rPr>
        <w:t xml:space="preserve">Observation </w:t>
      </w:r>
      <w:r w:rsidR="002F4ABC">
        <w:rPr>
          <w:b/>
          <w:bCs/>
          <w:i/>
          <w:lang w:val="en-US"/>
        </w:rPr>
        <w:t>5</w:t>
      </w:r>
      <w:r>
        <w:rPr>
          <w:bCs/>
          <w:i/>
          <w:lang w:val="en-US"/>
        </w:rPr>
        <w:t xml:space="preserve">: SSB arrangements in different frequency intervals </w:t>
      </w:r>
      <w:r w:rsidR="002F4ABC">
        <w:rPr>
          <w:bCs/>
          <w:i/>
          <w:lang w:val="en-US"/>
        </w:rPr>
        <w:t>with</w:t>
      </w:r>
      <w:r w:rsidRPr="00060BF8">
        <w:rPr>
          <w:bCs/>
          <w:i/>
          <w:lang w:val="en-US"/>
        </w:rPr>
        <w:t xml:space="preserve"> beam-specific initial BWPs</w:t>
      </w:r>
      <w:r>
        <w:rPr>
          <w:bCs/>
          <w:i/>
          <w:lang w:val="en-US"/>
        </w:rPr>
        <w:t xml:space="preserve"> </w:t>
      </w:r>
      <w:r w:rsidR="002F4ABC">
        <w:rPr>
          <w:bCs/>
          <w:i/>
          <w:lang w:val="en-US"/>
        </w:rPr>
        <w:t xml:space="preserve">increase </w:t>
      </w:r>
      <w:r w:rsidRPr="003848DB">
        <w:rPr>
          <w:bCs/>
          <w:i/>
          <w:lang w:val="en-US"/>
        </w:rPr>
        <w:t>initial access time</w:t>
      </w:r>
      <w:r>
        <w:rPr>
          <w:bCs/>
          <w:i/>
          <w:lang w:val="en-US"/>
        </w:rPr>
        <w:t xml:space="preserve"> and </w:t>
      </w:r>
      <w:r w:rsidR="002F4ABC">
        <w:rPr>
          <w:bCs/>
          <w:i/>
          <w:lang w:val="en-US"/>
        </w:rPr>
        <w:t>need</w:t>
      </w:r>
      <w:r w:rsidR="003848DB" w:rsidRPr="003848DB">
        <w:rPr>
          <w:bCs/>
          <w:i/>
        </w:rPr>
        <w:t xml:space="preserve"> </w:t>
      </w:r>
      <w:r>
        <w:rPr>
          <w:bCs/>
          <w:i/>
        </w:rPr>
        <w:t>specification of new</w:t>
      </w:r>
      <w:r w:rsidR="003848DB" w:rsidRPr="003848DB">
        <w:rPr>
          <w:bCs/>
          <w:i/>
        </w:rPr>
        <w:t xml:space="preserve"> measurements with gaps due to frequent </w:t>
      </w:r>
      <w:r w:rsidR="002F4ABC">
        <w:rPr>
          <w:bCs/>
          <w:i/>
        </w:rPr>
        <w:t xml:space="preserve">RF </w:t>
      </w:r>
      <w:r>
        <w:rPr>
          <w:bCs/>
          <w:i/>
        </w:rPr>
        <w:t xml:space="preserve">retuning and </w:t>
      </w:r>
      <w:r w:rsidR="003848DB" w:rsidRPr="003848DB">
        <w:rPr>
          <w:bCs/>
          <w:i/>
        </w:rPr>
        <w:t>BWP switches.</w:t>
      </w:r>
      <w:r>
        <w:rPr>
          <w:bCs/>
          <w:i/>
        </w:rPr>
        <w:t xml:space="preserve"> </w:t>
      </w:r>
      <w:r w:rsidR="003848DB" w:rsidRPr="003848DB">
        <w:rPr>
          <w:bCs/>
          <w:i/>
          <w:lang w:val="en-US"/>
        </w:rPr>
        <w:t xml:space="preserve">  </w:t>
      </w:r>
      <w:r>
        <w:rPr>
          <w:bCs/>
          <w:i/>
          <w:lang w:val="en-US"/>
        </w:rPr>
        <w:t xml:space="preserve">  </w:t>
      </w:r>
    </w:p>
    <w:p w14:paraId="78F86C0A" w14:textId="77777777" w:rsidR="003848DB" w:rsidRDefault="003848DB" w:rsidP="00314251">
      <w:pPr>
        <w:rPr>
          <w:b/>
          <w:i/>
          <w:lang w:eastAsia="zh-CN"/>
        </w:rPr>
      </w:pPr>
    </w:p>
    <w:p w14:paraId="601F235F" w14:textId="45444003" w:rsidR="009633FB" w:rsidRPr="009633FB" w:rsidRDefault="009633FB" w:rsidP="009633FB">
      <w:pPr>
        <w:pStyle w:val="Heading1"/>
        <w:rPr>
          <w:lang w:eastAsia="zh-CN"/>
        </w:rPr>
      </w:pPr>
      <w:r w:rsidRPr="009633FB">
        <w:rPr>
          <w:lang w:eastAsia="zh-CN"/>
        </w:rPr>
        <w:t>DL Synchronization</w:t>
      </w:r>
    </w:p>
    <w:p w14:paraId="29026778" w14:textId="3B474998" w:rsidR="009633FB" w:rsidRDefault="009633FB" w:rsidP="009633FB">
      <w:pPr>
        <w:rPr>
          <w:lang w:val="en-US"/>
        </w:rPr>
      </w:pPr>
      <w:r w:rsidRPr="00742A24">
        <w:rPr>
          <w:lang w:val="en-US"/>
        </w:rPr>
        <w:t>As mentioned in TR 38.821 section 6.3.2, the common D</w:t>
      </w:r>
      <w:r>
        <w:rPr>
          <w:lang w:val="en-US"/>
        </w:rPr>
        <w:t>oppler shift pre-compensation may be</w:t>
      </w:r>
      <w:r w:rsidRPr="00742A24">
        <w:rPr>
          <w:lang w:val="en-US"/>
        </w:rPr>
        <w:t xml:space="preserve"> needed to for DL initial synchronization. This is due to the definition of the SSB SYNC raster as “N * 1200kHz + M * 50 kHz”, N=1:2499, M ϵ {1,3,5}, for carrier frequency &lt;3GHz. This corresponds to the super-position of 2 SYNC raster grids: the main SYNC raster grid of 1.2MHz spacing and a small grid of 3 raster spaced by 100</w:t>
      </w:r>
      <w:r w:rsidR="00F539B0">
        <w:rPr>
          <w:lang w:val="en-US"/>
        </w:rPr>
        <w:t xml:space="preserve"> k</w:t>
      </w:r>
      <w:r w:rsidRPr="00742A24">
        <w:rPr>
          <w:lang w:val="en-US"/>
        </w:rPr>
        <w:t>Hz (TS 38.101, section 5.4.3.1). This was done to allow adaptation of existing 3GPP deployments. For carrier frequency &gt;3GHz only a main grid with 1.44</w:t>
      </w:r>
      <w:r w:rsidR="00F539B0">
        <w:rPr>
          <w:lang w:val="en-US"/>
        </w:rPr>
        <w:t xml:space="preserve"> </w:t>
      </w:r>
      <w:r w:rsidRPr="00742A24">
        <w:rPr>
          <w:lang w:val="en-US"/>
        </w:rPr>
        <w:t xml:space="preserve">MHz raster spacing is used. </w:t>
      </w:r>
    </w:p>
    <w:p w14:paraId="5C4830FF" w14:textId="36984D9A" w:rsidR="009633FB" w:rsidRPr="00742A24" w:rsidRDefault="009633FB" w:rsidP="009633FB">
      <w:pPr>
        <w:rPr>
          <w:lang w:val="en-US"/>
        </w:rPr>
      </w:pPr>
      <w:r w:rsidRPr="00742A24">
        <w:rPr>
          <w:lang w:val="en-US"/>
        </w:rPr>
        <w:t>For the purpose of DL initial synchronization, the Doppler shift @3</w:t>
      </w:r>
      <w:r w:rsidR="00F539B0">
        <w:rPr>
          <w:lang w:val="en-US"/>
        </w:rPr>
        <w:t xml:space="preserve"> </w:t>
      </w:r>
      <w:r w:rsidRPr="00742A24">
        <w:rPr>
          <w:lang w:val="en-US"/>
        </w:rPr>
        <w:t>GHz</w:t>
      </w:r>
      <w:r>
        <w:rPr>
          <w:lang w:val="en-US"/>
        </w:rPr>
        <w:t xml:space="preserve"> without pre-compensation of the common Doppler shift on the access link </w:t>
      </w:r>
      <w:r w:rsidRPr="00742A24">
        <w:rPr>
          <w:lang w:val="en-US"/>
        </w:rPr>
        <w:t xml:space="preserve"> can be up to ~ +/-3</w:t>
      </w:r>
      <w:r>
        <w:rPr>
          <w:lang w:val="en-US"/>
        </w:rPr>
        <w:t xml:space="preserve"> </w:t>
      </w:r>
      <w:r w:rsidRPr="00742A24">
        <w:rPr>
          <w:lang w:val="en-US"/>
        </w:rPr>
        <w:t>GHz *v/c~ +/ 75</w:t>
      </w:r>
      <w:r w:rsidR="00F539B0">
        <w:rPr>
          <w:lang w:val="en-US"/>
        </w:rPr>
        <w:t xml:space="preserve"> k</w:t>
      </w:r>
      <w:r w:rsidRPr="00742A24">
        <w:rPr>
          <w:lang w:val="en-US"/>
        </w:rPr>
        <w:t>Hz</w:t>
      </w:r>
      <w:r>
        <w:rPr>
          <w:lang w:val="en-US"/>
        </w:rPr>
        <w:t>. T</w:t>
      </w:r>
      <w:r w:rsidRPr="00742A24">
        <w:rPr>
          <w:lang w:val="en-US"/>
        </w:rPr>
        <w:t>h</w:t>
      </w:r>
      <w:r>
        <w:rPr>
          <w:lang w:val="en-US"/>
        </w:rPr>
        <w:t xml:space="preserve">erefore the pre-compensation is required to accommodate the residual Doppler </w:t>
      </w:r>
      <w:r w:rsidRPr="00742A24">
        <w:rPr>
          <w:lang w:val="en-US"/>
        </w:rPr>
        <w:t>within a raster spacing of 100</w:t>
      </w:r>
      <w:r>
        <w:rPr>
          <w:lang w:val="en-US"/>
        </w:rPr>
        <w:t xml:space="preserve"> k</w:t>
      </w:r>
      <w:r w:rsidRPr="00742A24">
        <w:rPr>
          <w:lang w:val="en-US"/>
        </w:rPr>
        <w:t>Hz (=+/-50</w:t>
      </w:r>
      <w:r>
        <w:rPr>
          <w:lang w:val="en-US"/>
        </w:rPr>
        <w:t xml:space="preserve"> k</w:t>
      </w:r>
      <w:r w:rsidRPr="00742A24">
        <w:rPr>
          <w:lang w:val="en-US"/>
        </w:rPr>
        <w:t>Hz)</w:t>
      </w:r>
      <w:r>
        <w:rPr>
          <w:lang w:val="en-US"/>
        </w:rPr>
        <w:t>. H</w:t>
      </w:r>
      <w:r w:rsidRPr="00742A24">
        <w:rPr>
          <w:lang w:val="en-US"/>
        </w:rPr>
        <w:t>owever</w:t>
      </w:r>
      <w:r>
        <w:rPr>
          <w:lang w:val="en-US"/>
        </w:rPr>
        <w:t xml:space="preserve">, </w:t>
      </w:r>
      <w:r w:rsidRPr="00742A24">
        <w:rPr>
          <w:lang w:val="en-US"/>
        </w:rPr>
        <w:t xml:space="preserve">NTN deployment does not have the constraint of existing 3GPP deployments. </w:t>
      </w:r>
      <w:r>
        <w:rPr>
          <w:lang w:val="en-US"/>
        </w:rPr>
        <w:t>The pre-compensation of the common Doppler over the access link is not required if we</w:t>
      </w:r>
      <w:r w:rsidRPr="00742A24">
        <w:rPr>
          <w:lang w:val="en-US"/>
        </w:rPr>
        <w:t xml:space="preserve"> consider removing the 100</w:t>
      </w:r>
      <w:r>
        <w:rPr>
          <w:lang w:val="en-US"/>
        </w:rPr>
        <w:t xml:space="preserve"> k</w:t>
      </w:r>
      <w:r w:rsidRPr="00742A24">
        <w:rPr>
          <w:lang w:val="en-US"/>
        </w:rPr>
        <w:t>Hz small grid of 3</w:t>
      </w:r>
      <w:r>
        <w:rPr>
          <w:lang w:val="en-US"/>
        </w:rPr>
        <w:t xml:space="preserve"> </w:t>
      </w:r>
      <w:r w:rsidRPr="00742A24">
        <w:rPr>
          <w:lang w:val="en-US"/>
        </w:rPr>
        <w:t>rasters in case of carrier frequency &lt;3</w:t>
      </w:r>
      <w:r w:rsidR="00F539B0">
        <w:rPr>
          <w:lang w:val="en-US"/>
        </w:rPr>
        <w:t xml:space="preserve"> </w:t>
      </w:r>
      <w:bookmarkStart w:id="3" w:name="_GoBack"/>
      <w:bookmarkEnd w:id="3"/>
      <w:r w:rsidRPr="00742A24">
        <w:rPr>
          <w:lang w:val="en-US"/>
        </w:rPr>
        <w:t>GHz and only use the main SYNC raster grid of 1.2MHz</w:t>
      </w:r>
      <w:r>
        <w:rPr>
          <w:lang w:val="en-US"/>
        </w:rPr>
        <w:t>. T</w:t>
      </w:r>
      <w:r w:rsidRPr="00742A24">
        <w:rPr>
          <w:lang w:val="en-US"/>
        </w:rPr>
        <w:t xml:space="preserve">his will simplify the system design but would require RAN4 discussion. </w:t>
      </w:r>
    </w:p>
    <w:p w14:paraId="2348E18D" w14:textId="51C67BE2" w:rsidR="009633FB" w:rsidRPr="009633FB" w:rsidRDefault="009633FB" w:rsidP="009633FB">
      <w:pPr>
        <w:rPr>
          <w:i/>
          <w:lang w:eastAsia="zh-CN"/>
        </w:rPr>
      </w:pPr>
      <w:r>
        <w:rPr>
          <w:b/>
          <w:i/>
          <w:lang w:eastAsia="zh-CN"/>
        </w:rPr>
        <w:t>Observation 6</w:t>
      </w:r>
      <w:r w:rsidRPr="009633FB">
        <w:rPr>
          <w:i/>
          <w:lang w:eastAsia="zh-CN"/>
        </w:rPr>
        <w:t xml:space="preserve">: If the 100 kHz sync raster grid for carrier frequency &lt; 3 GHz is removed, the pre-compensation of the common Doppler shift over the access link by the gNB is not needed.  </w:t>
      </w:r>
    </w:p>
    <w:p w14:paraId="31E13D88" w14:textId="1F5C9FBD" w:rsidR="009633FB" w:rsidRPr="009633FB" w:rsidRDefault="009633FB" w:rsidP="009633FB">
      <w:pPr>
        <w:rPr>
          <w:i/>
          <w:lang w:eastAsia="zh-CN"/>
        </w:rPr>
      </w:pPr>
      <w:r w:rsidRPr="009633FB">
        <w:rPr>
          <w:b/>
          <w:i/>
          <w:lang w:eastAsia="zh-CN"/>
        </w:rPr>
        <w:t>Pr</w:t>
      </w:r>
      <w:r>
        <w:rPr>
          <w:b/>
          <w:i/>
          <w:lang w:eastAsia="zh-CN"/>
        </w:rPr>
        <w:t>oposal 1</w:t>
      </w:r>
      <w:r w:rsidRPr="009633FB">
        <w:rPr>
          <w:i/>
          <w:lang w:eastAsia="zh-CN"/>
        </w:rPr>
        <w:t>: The removal of the 100 kHz sync raster grid for carrier frequency &lt; 3 GHz can be further studied.</w:t>
      </w:r>
    </w:p>
    <w:p w14:paraId="2B96D47E" w14:textId="77777777" w:rsidR="009633FB" w:rsidRPr="009633FB" w:rsidRDefault="009633FB" w:rsidP="00314251">
      <w:pPr>
        <w:rPr>
          <w:lang w:eastAsia="zh-CN"/>
        </w:rPr>
      </w:pPr>
    </w:p>
    <w:bookmarkEnd w:id="2"/>
    <w:p w14:paraId="481B26CA" w14:textId="77777777" w:rsidR="002D44AF" w:rsidRPr="0011601D" w:rsidRDefault="002D44AF" w:rsidP="002D44AF">
      <w:pPr>
        <w:pStyle w:val="Heading1"/>
        <w:rPr>
          <w:rFonts w:cs="Arial"/>
          <w:lang w:eastAsia="zh-TW"/>
        </w:rPr>
      </w:pPr>
      <w:r w:rsidRPr="0011601D">
        <w:rPr>
          <w:rFonts w:cs="Arial"/>
        </w:rPr>
        <w:t>Conclusion</w:t>
      </w:r>
    </w:p>
    <w:p w14:paraId="6CB3BB08" w14:textId="4E6E1924" w:rsidR="006C4883" w:rsidRDefault="004F402C" w:rsidP="007279AC">
      <w:pPr>
        <w:spacing w:line="276" w:lineRule="auto"/>
        <w:rPr>
          <w:rFonts w:eastAsia="SimSun"/>
          <w:lang w:val="en-US"/>
        </w:rPr>
      </w:pPr>
      <w:r w:rsidRPr="00F838C8">
        <w:rPr>
          <w:rFonts w:eastAsia="SimSun"/>
          <w:lang w:val="en-US"/>
        </w:rPr>
        <w:t xml:space="preserve">In this contribution, we summarize </w:t>
      </w:r>
      <w:r w:rsidR="0011601D" w:rsidRPr="00F838C8">
        <w:rPr>
          <w:rFonts w:eastAsia="SimSun"/>
          <w:lang w:val="en-US"/>
        </w:rPr>
        <w:t xml:space="preserve">issues and </w:t>
      </w:r>
      <w:r w:rsidR="002F4ABC">
        <w:rPr>
          <w:rFonts w:eastAsia="SimSun"/>
          <w:lang w:val="en-US"/>
        </w:rPr>
        <w:t xml:space="preserve">made the following observations </w:t>
      </w:r>
      <w:r w:rsidR="0011601D" w:rsidRPr="00F838C8">
        <w:rPr>
          <w:rFonts w:eastAsia="SimSun"/>
          <w:lang w:val="en-US"/>
        </w:rPr>
        <w:t>for beam management</w:t>
      </w:r>
      <w:r w:rsidR="006C4883">
        <w:rPr>
          <w:rFonts w:eastAsia="SimSun"/>
          <w:lang w:val="en-US"/>
        </w:rPr>
        <w:t xml:space="preserve"> and BWP configuration in NR NTN.</w:t>
      </w:r>
    </w:p>
    <w:p w14:paraId="0BF60DE7" w14:textId="77777777" w:rsidR="002F4ABC" w:rsidRPr="002F4ABC" w:rsidRDefault="002F4ABC" w:rsidP="002F4ABC">
      <w:pPr>
        <w:rPr>
          <w:bCs/>
          <w:i/>
          <w:lang w:val="en-US"/>
        </w:rPr>
      </w:pPr>
      <w:r w:rsidRPr="002F4ABC">
        <w:rPr>
          <w:b/>
          <w:bCs/>
          <w:i/>
          <w:lang w:val="en-US"/>
        </w:rPr>
        <w:lastRenderedPageBreak/>
        <w:t>Observation 1</w:t>
      </w:r>
      <w:r w:rsidRPr="002F4ABC">
        <w:rPr>
          <w:bCs/>
          <w:i/>
          <w:lang w:val="en-US"/>
        </w:rPr>
        <w:t>: Wide beam transmitting initial BWP#0 and multiple narrow beam spots transmitting data, where each narrow beam spot can be associated with dedicated BWP#1,2,3 for data transmission allows to re-use Rel-15 Beam management mechanisms.</w:t>
      </w:r>
    </w:p>
    <w:p w14:paraId="79801BEC" w14:textId="71EE1D55" w:rsidR="002F4ABC" w:rsidRPr="002F4ABC" w:rsidRDefault="002F4ABC" w:rsidP="002F4ABC">
      <w:pPr>
        <w:rPr>
          <w:bCs/>
          <w:i/>
          <w:lang w:val="en-US"/>
        </w:rPr>
      </w:pPr>
      <w:r w:rsidRPr="002F4ABC">
        <w:rPr>
          <w:b/>
          <w:bCs/>
          <w:i/>
          <w:lang w:val="en-US"/>
        </w:rPr>
        <w:t>Observation 2</w:t>
      </w:r>
      <w:r w:rsidRPr="002F4ABC">
        <w:rPr>
          <w:bCs/>
          <w:i/>
          <w:lang w:val="en-US"/>
        </w:rPr>
        <w:t>: Wide beam transmitting initial BWP#0 and multiple narrow beam spots transmitting data,  allows scaling of L1 overhead and c</w:t>
      </w:r>
      <w:r w:rsidR="00EA6D91">
        <w:rPr>
          <w:bCs/>
          <w:i/>
          <w:lang w:val="en-US"/>
        </w:rPr>
        <w:t>ell-specific overhead scaling by</w:t>
      </w:r>
      <w:r w:rsidRPr="002F4ABC">
        <w:rPr>
          <w:bCs/>
          <w:i/>
          <w:lang w:val="en-US"/>
        </w:rPr>
        <w:t xml:space="preserve"> 1/(N+1) where N is the number of narrow spot beams within the wider beam. </w:t>
      </w:r>
    </w:p>
    <w:p w14:paraId="3AB966E6" w14:textId="77777777" w:rsidR="002F4ABC" w:rsidRPr="002F4ABC" w:rsidRDefault="002F4ABC" w:rsidP="002F4ABC">
      <w:pPr>
        <w:rPr>
          <w:bCs/>
          <w:i/>
          <w:lang w:val="en-US"/>
        </w:rPr>
      </w:pPr>
      <w:r w:rsidRPr="002F4ABC">
        <w:rPr>
          <w:b/>
          <w:bCs/>
          <w:i/>
          <w:lang w:val="en-US"/>
        </w:rPr>
        <w:t>Observation 3</w:t>
      </w:r>
      <w:r>
        <w:rPr>
          <w:bCs/>
          <w:i/>
          <w:lang w:val="en-US"/>
        </w:rPr>
        <w:t xml:space="preserve">: EIRP splitting between wider beam and N narrow beam spots marginally reduce EIRP for data on narrow beams by </w:t>
      </w:r>
      <w:r w:rsidRPr="002F4ABC">
        <w:rPr>
          <w:bCs/>
          <w:i/>
          <w:lang w:val="en-US"/>
        </w:rPr>
        <w:t>10*log(N/[N+1])</w:t>
      </w:r>
      <w:r>
        <w:rPr>
          <w:bCs/>
          <w:i/>
          <w:lang w:val="en-US"/>
        </w:rPr>
        <w:t xml:space="preserve"> dB. </w:t>
      </w:r>
      <w:r w:rsidRPr="002F4ABC">
        <w:rPr>
          <w:bCs/>
          <w:i/>
          <w:lang w:val="en-US"/>
        </w:rPr>
        <w:t xml:space="preserve"> </w:t>
      </w:r>
    </w:p>
    <w:p w14:paraId="49C11197" w14:textId="18A446AF" w:rsidR="002F4ABC" w:rsidRDefault="002F4ABC" w:rsidP="002F4ABC">
      <w:pPr>
        <w:rPr>
          <w:bCs/>
          <w:i/>
          <w:lang w:val="en-US"/>
        </w:rPr>
      </w:pPr>
      <w:r w:rsidRPr="003848DB">
        <w:rPr>
          <w:b/>
          <w:bCs/>
          <w:i/>
          <w:lang w:val="en-US"/>
        </w:rPr>
        <w:t xml:space="preserve">Observation </w:t>
      </w:r>
      <w:r>
        <w:rPr>
          <w:b/>
          <w:bCs/>
          <w:i/>
          <w:lang w:val="en-US"/>
        </w:rPr>
        <w:t>4</w:t>
      </w:r>
      <w:r w:rsidRPr="003848DB">
        <w:rPr>
          <w:bCs/>
          <w:i/>
          <w:lang w:val="en-US"/>
        </w:rPr>
        <w:t xml:space="preserve">: </w:t>
      </w:r>
      <w:r>
        <w:rPr>
          <w:bCs/>
          <w:i/>
          <w:lang w:val="en-US"/>
        </w:rPr>
        <w:t xml:space="preserve">Narrow </w:t>
      </w:r>
      <w:r w:rsidRPr="002F4ABC">
        <w:rPr>
          <w:bCs/>
          <w:i/>
          <w:lang w:val="en-US"/>
        </w:rPr>
        <w:t xml:space="preserve">beam transmitting </w:t>
      </w:r>
      <w:r>
        <w:rPr>
          <w:bCs/>
          <w:i/>
          <w:lang w:val="en-US"/>
        </w:rPr>
        <w:t xml:space="preserve">initial </w:t>
      </w:r>
      <w:r w:rsidRPr="002F4ABC">
        <w:rPr>
          <w:bCs/>
          <w:i/>
          <w:lang w:val="en-US"/>
        </w:rPr>
        <w:t>BWP#0 and dedicated BWP#1,2,3 for data transmission allows to re-use Rel-15 Beam management mechanisms</w:t>
      </w:r>
    </w:p>
    <w:p w14:paraId="0433A353" w14:textId="1ACD4A9A" w:rsidR="00060BF8" w:rsidRPr="002F4ABC" w:rsidRDefault="002F4ABC" w:rsidP="00060BF8">
      <w:pPr>
        <w:rPr>
          <w:bCs/>
          <w:i/>
          <w:lang w:val="en-US"/>
        </w:rPr>
      </w:pPr>
      <w:r w:rsidRPr="00060BF8">
        <w:rPr>
          <w:b/>
          <w:bCs/>
          <w:i/>
          <w:lang w:val="en-US"/>
        </w:rPr>
        <w:t xml:space="preserve">Observation </w:t>
      </w:r>
      <w:r>
        <w:rPr>
          <w:b/>
          <w:bCs/>
          <w:i/>
          <w:lang w:val="en-US"/>
        </w:rPr>
        <w:t>5</w:t>
      </w:r>
      <w:r>
        <w:rPr>
          <w:bCs/>
          <w:i/>
          <w:lang w:val="en-US"/>
        </w:rPr>
        <w:t>: SSB arrangements in different frequency intervals with</w:t>
      </w:r>
      <w:r w:rsidRPr="00060BF8">
        <w:rPr>
          <w:bCs/>
          <w:i/>
          <w:lang w:val="en-US"/>
        </w:rPr>
        <w:t xml:space="preserve"> beam-specific initial BWPs</w:t>
      </w:r>
      <w:r>
        <w:rPr>
          <w:bCs/>
          <w:i/>
          <w:lang w:val="en-US"/>
        </w:rPr>
        <w:t xml:space="preserve"> increase </w:t>
      </w:r>
      <w:r w:rsidRPr="003848DB">
        <w:rPr>
          <w:bCs/>
          <w:i/>
          <w:lang w:val="en-US"/>
        </w:rPr>
        <w:t>initial access time</w:t>
      </w:r>
      <w:r>
        <w:rPr>
          <w:bCs/>
          <w:i/>
          <w:lang w:val="en-US"/>
        </w:rPr>
        <w:t xml:space="preserve"> and need</w:t>
      </w:r>
      <w:r w:rsidRPr="003848DB">
        <w:rPr>
          <w:bCs/>
          <w:i/>
        </w:rPr>
        <w:t xml:space="preserve"> </w:t>
      </w:r>
      <w:r>
        <w:rPr>
          <w:bCs/>
          <w:i/>
        </w:rPr>
        <w:t>specification of new</w:t>
      </w:r>
      <w:r w:rsidRPr="003848DB">
        <w:rPr>
          <w:bCs/>
          <w:i/>
        </w:rPr>
        <w:t xml:space="preserve"> measurements with gaps due to frequent </w:t>
      </w:r>
      <w:r>
        <w:rPr>
          <w:bCs/>
          <w:i/>
        </w:rPr>
        <w:t>RF retuning and BWP switches</w:t>
      </w:r>
      <w:r w:rsidR="00060BF8" w:rsidRPr="003848DB">
        <w:rPr>
          <w:i/>
          <w:lang w:eastAsia="zh-CN"/>
        </w:rPr>
        <w:t>.</w:t>
      </w:r>
    </w:p>
    <w:p w14:paraId="39CF6C4B" w14:textId="77777777" w:rsidR="009633FB" w:rsidRPr="009633FB" w:rsidRDefault="009633FB" w:rsidP="009633FB">
      <w:pPr>
        <w:rPr>
          <w:i/>
          <w:lang w:eastAsia="zh-CN"/>
        </w:rPr>
      </w:pPr>
      <w:r>
        <w:rPr>
          <w:b/>
          <w:i/>
          <w:lang w:eastAsia="zh-CN"/>
        </w:rPr>
        <w:t>Observation 6</w:t>
      </w:r>
      <w:r w:rsidRPr="009633FB">
        <w:rPr>
          <w:i/>
          <w:lang w:eastAsia="zh-CN"/>
        </w:rPr>
        <w:t xml:space="preserve">: If the 100 kHz sync raster grid for carrier frequency &lt; 3 GHz is removed, the pre-compensation of the common Doppler shift over the access link by the gNB is not needed.  </w:t>
      </w:r>
    </w:p>
    <w:p w14:paraId="657A39FB" w14:textId="77777777" w:rsidR="009633FB" w:rsidRPr="009633FB" w:rsidRDefault="009633FB" w:rsidP="009633FB">
      <w:pPr>
        <w:rPr>
          <w:i/>
          <w:lang w:eastAsia="zh-CN"/>
        </w:rPr>
      </w:pPr>
      <w:r w:rsidRPr="009633FB">
        <w:rPr>
          <w:b/>
          <w:i/>
          <w:lang w:eastAsia="zh-CN"/>
        </w:rPr>
        <w:t>Pr</w:t>
      </w:r>
      <w:r>
        <w:rPr>
          <w:b/>
          <w:i/>
          <w:lang w:eastAsia="zh-CN"/>
        </w:rPr>
        <w:t>oposal 1</w:t>
      </w:r>
      <w:r w:rsidRPr="009633FB">
        <w:rPr>
          <w:i/>
          <w:lang w:eastAsia="zh-CN"/>
        </w:rPr>
        <w:t>: The removal of the 100 kHz sync raster grid for carrier frequency &lt; 3 GHz can be further studied.</w:t>
      </w:r>
    </w:p>
    <w:p w14:paraId="00E0D572" w14:textId="77777777" w:rsidR="009776FC" w:rsidRPr="00F838C8" w:rsidRDefault="009776FC" w:rsidP="007279AC">
      <w:pPr>
        <w:spacing w:line="276" w:lineRule="auto"/>
        <w:rPr>
          <w:rFonts w:eastAsia="SimSun"/>
          <w:lang w:val="en-US"/>
        </w:rPr>
      </w:pPr>
    </w:p>
    <w:p w14:paraId="27149AB7" w14:textId="77777777" w:rsidR="002D44AF" w:rsidRPr="0011601D" w:rsidRDefault="002D44AF" w:rsidP="002D44AF">
      <w:pPr>
        <w:pStyle w:val="Heading1"/>
        <w:rPr>
          <w:rFonts w:cs="Arial"/>
          <w:lang w:val="en-US"/>
        </w:rPr>
      </w:pPr>
      <w:r w:rsidRPr="0011601D">
        <w:rPr>
          <w:rFonts w:cs="Arial"/>
          <w:lang w:val="en-US" w:eastAsia="zh-TW"/>
        </w:rPr>
        <w:t>References</w:t>
      </w:r>
    </w:p>
    <w:p w14:paraId="06EF7026" w14:textId="77777777" w:rsidR="001835D6" w:rsidRPr="00EF51BB" w:rsidRDefault="001835D6" w:rsidP="001835D6">
      <w:pPr>
        <w:pStyle w:val="ListParagraph"/>
        <w:numPr>
          <w:ilvl w:val="0"/>
          <w:numId w:val="2"/>
        </w:numPr>
        <w:rPr>
          <w:lang w:val="en-US"/>
        </w:rPr>
      </w:pPr>
      <w:r>
        <w:rPr>
          <w:lang w:val="en-US"/>
        </w:rPr>
        <w:t>RP-201256</w:t>
      </w:r>
      <w:r w:rsidRPr="00EF51BB">
        <w:rPr>
          <w:lang w:val="en-US"/>
        </w:rPr>
        <w:t>, Thales, Solutions for NR to support non-te</w:t>
      </w:r>
      <w:r>
        <w:rPr>
          <w:lang w:val="en-US"/>
        </w:rPr>
        <w:t>rrestrial networks (NTN), RAN#88e</w:t>
      </w:r>
      <w:r w:rsidRPr="00EF51BB">
        <w:rPr>
          <w:lang w:val="en-US"/>
        </w:rPr>
        <w:t xml:space="preserve">, </w:t>
      </w:r>
      <w:r>
        <w:rPr>
          <w:lang w:val="en-US"/>
        </w:rPr>
        <w:t>June 2021</w:t>
      </w:r>
    </w:p>
    <w:p w14:paraId="18BD05E9" w14:textId="77777777" w:rsidR="00D56249" w:rsidRDefault="00FC197A" w:rsidP="00D56249">
      <w:pPr>
        <w:pStyle w:val="ListParagraph"/>
        <w:numPr>
          <w:ilvl w:val="0"/>
          <w:numId w:val="2"/>
        </w:numPr>
        <w:rPr>
          <w:lang w:val="en-US"/>
        </w:rPr>
      </w:pPr>
      <w:r w:rsidRPr="00F838C8">
        <w:rPr>
          <w:lang w:val="en-US"/>
        </w:rPr>
        <w:t>TR 38.821 “Solutions for NR to support non-terrestrial networks”</w:t>
      </w:r>
    </w:p>
    <w:p w14:paraId="5D50ACB7" w14:textId="049447C5" w:rsidR="00B039E3" w:rsidRPr="00B039E3" w:rsidRDefault="00FB0773" w:rsidP="00B039E3">
      <w:pPr>
        <w:pStyle w:val="ListParagraph"/>
        <w:numPr>
          <w:ilvl w:val="0"/>
          <w:numId w:val="2"/>
        </w:numPr>
        <w:rPr>
          <w:lang w:val="en-US"/>
        </w:rPr>
      </w:pPr>
      <w:r>
        <w:rPr>
          <w:lang w:val="en-US"/>
        </w:rPr>
        <w:t xml:space="preserve">R1-2008812, MediaTek, </w:t>
      </w:r>
      <w:r w:rsidRPr="00FB0773">
        <w:rPr>
          <w:lang w:val="en-US"/>
        </w:rPr>
        <w:t>Summary #4 of 8.4.4 Other Aspects of NR-NTN</w:t>
      </w:r>
      <w:r>
        <w:rPr>
          <w:lang w:val="en-US"/>
        </w:rPr>
        <w:t>, RAN1#103e, September 2020</w:t>
      </w:r>
    </w:p>
    <w:p w14:paraId="6281EB94" w14:textId="77777777" w:rsidR="00D869A4" w:rsidRDefault="00D869A4" w:rsidP="00823970">
      <w:pPr>
        <w:rPr>
          <w:lang w:val="en-US" w:eastAsia="zh-TW"/>
        </w:rPr>
      </w:pPr>
    </w:p>
    <w:sectPr w:rsidR="00D869A4" w:rsidSect="00252EB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4C2DE7B" w14:textId="77777777" w:rsidR="009B2914" w:rsidRDefault="009B2914">
      <w:r>
        <w:separator/>
      </w:r>
    </w:p>
  </w:endnote>
  <w:endnote w:type="continuationSeparator" w:id="0">
    <w:p w14:paraId="61B09A6D" w14:textId="77777777" w:rsidR="009B2914" w:rsidRDefault="009B29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5CEE6D2" w14:textId="77777777" w:rsidR="009B2914" w:rsidRDefault="009B2914">
      <w:r>
        <w:separator/>
      </w:r>
    </w:p>
  </w:footnote>
  <w:footnote w:type="continuationSeparator" w:id="0">
    <w:p w14:paraId="02D83A5E" w14:textId="77777777" w:rsidR="009B2914" w:rsidRDefault="009B291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AE0966"/>
    <w:multiLevelType w:val="hybridMultilevel"/>
    <w:tmpl w:val="87347B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23261FCD"/>
    <w:multiLevelType w:val="hybridMultilevel"/>
    <w:tmpl w:val="6CFEC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E507766"/>
    <w:multiLevelType w:val="hybridMultilevel"/>
    <w:tmpl w:val="B5889C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E4062D7"/>
    <w:multiLevelType w:val="hybridMultilevel"/>
    <w:tmpl w:val="1C9E5EB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E9D3E61"/>
    <w:multiLevelType w:val="hybridMultilevel"/>
    <w:tmpl w:val="635634D2"/>
    <w:lvl w:ilvl="0" w:tplc="C4B4A0C0">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66A1BC7"/>
    <w:multiLevelType w:val="multilevel"/>
    <w:tmpl w:val="333CF1AA"/>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2268"/>
        </w:tabs>
        <w:ind w:left="2268" w:hanging="1008"/>
      </w:pPr>
    </w:lvl>
    <w:lvl w:ilvl="5">
      <w:start w:val="1"/>
      <w:numFmt w:val="decimal"/>
      <w:pStyle w:val="Heading6"/>
      <w:lvlText w:val="%1.%2.%3.%4.%5.%6"/>
      <w:lvlJc w:val="left"/>
      <w:pPr>
        <w:tabs>
          <w:tab w:val="num" w:pos="1152"/>
        </w:tabs>
        <w:ind w:left="1152" w:hanging="1152"/>
      </w:pPr>
      <w:rPr>
        <w:rFonts w:ascii="Arial" w:hAnsi="Arial" w:cs="Arial" w:hint="default"/>
        <w:sz w:val="18"/>
        <w:szCs w:val="18"/>
      </w:r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7" w15:restartNumberingAfterBreak="0">
    <w:nsid w:val="4C396493"/>
    <w:multiLevelType w:val="hybridMultilevel"/>
    <w:tmpl w:val="C1C640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8D244DA"/>
    <w:multiLevelType w:val="hybridMultilevel"/>
    <w:tmpl w:val="501A895E"/>
    <w:lvl w:ilvl="0" w:tplc="C4B4A0C0">
      <w:numFmt w:val="bullet"/>
      <w:lvlText w:val="-"/>
      <w:lvlJc w:val="left"/>
      <w:pPr>
        <w:ind w:left="1212" w:hanging="360"/>
      </w:pPr>
      <w:rPr>
        <w:rFonts w:ascii="Times New Roman" w:eastAsia="PMingLiU"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9" w15:restartNumberingAfterBreak="0">
    <w:nsid w:val="5EC21614"/>
    <w:multiLevelType w:val="hybridMultilevel"/>
    <w:tmpl w:val="743C9606"/>
    <w:lvl w:ilvl="0" w:tplc="FE385382">
      <w:start w:val="1"/>
      <w:numFmt w:val="bullet"/>
      <w:lvlText w:val="•"/>
      <w:lvlJc w:val="left"/>
      <w:pPr>
        <w:tabs>
          <w:tab w:val="num" w:pos="720"/>
        </w:tabs>
        <w:ind w:left="720" w:hanging="360"/>
      </w:pPr>
      <w:rPr>
        <w:rFonts w:ascii="Arial" w:hAnsi="Arial" w:hint="default"/>
      </w:rPr>
    </w:lvl>
    <w:lvl w:ilvl="1" w:tplc="228A636A">
      <w:start w:val="61"/>
      <w:numFmt w:val="bullet"/>
      <w:lvlText w:val="–"/>
      <w:lvlJc w:val="left"/>
      <w:pPr>
        <w:tabs>
          <w:tab w:val="num" w:pos="1440"/>
        </w:tabs>
        <w:ind w:left="1440" w:hanging="360"/>
      </w:pPr>
      <w:rPr>
        <w:rFonts w:ascii="Calibri Light" w:hAnsi="Calibri Light" w:hint="default"/>
      </w:rPr>
    </w:lvl>
    <w:lvl w:ilvl="2" w:tplc="5FEC5D5E" w:tentative="1">
      <w:start w:val="1"/>
      <w:numFmt w:val="bullet"/>
      <w:lvlText w:val="•"/>
      <w:lvlJc w:val="left"/>
      <w:pPr>
        <w:tabs>
          <w:tab w:val="num" w:pos="2160"/>
        </w:tabs>
        <w:ind w:left="2160" w:hanging="360"/>
      </w:pPr>
      <w:rPr>
        <w:rFonts w:ascii="Arial" w:hAnsi="Arial" w:hint="default"/>
      </w:rPr>
    </w:lvl>
    <w:lvl w:ilvl="3" w:tplc="655E1BEC" w:tentative="1">
      <w:start w:val="1"/>
      <w:numFmt w:val="bullet"/>
      <w:lvlText w:val="•"/>
      <w:lvlJc w:val="left"/>
      <w:pPr>
        <w:tabs>
          <w:tab w:val="num" w:pos="2880"/>
        </w:tabs>
        <w:ind w:left="2880" w:hanging="360"/>
      </w:pPr>
      <w:rPr>
        <w:rFonts w:ascii="Arial" w:hAnsi="Arial" w:hint="default"/>
      </w:rPr>
    </w:lvl>
    <w:lvl w:ilvl="4" w:tplc="A356C5A8" w:tentative="1">
      <w:start w:val="1"/>
      <w:numFmt w:val="bullet"/>
      <w:lvlText w:val="•"/>
      <w:lvlJc w:val="left"/>
      <w:pPr>
        <w:tabs>
          <w:tab w:val="num" w:pos="3600"/>
        </w:tabs>
        <w:ind w:left="3600" w:hanging="360"/>
      </w:pPr>
      <w:rPr>
        <w:rFonts w:ascii="Arial" w:hAnsi="Arial" w:hint="default"/>
      </w:rPr>
    </w:lvl>
    <w:lvl w:ilvl="5" w:tplc="39ACF4EC" w:tentative="1">
      <w:start w:val="1"/>
      <w:numFmt w:val="bullet"/>
      <w:lvlText w:val="•"/>
      <w:lvlJc w:val="left"/>
      <w:pPr>
        <w:tabs>
          <w:tab w:val="num" w:pos="4320"/>
        </w:tabs>
        <w:ind w:left="4320" w:hanging="360"/>
      </w:pPr>
      <w:rPr>
        <w:rFonts w:ascii="Arial" w:hAnsi="Arial" w:hint="default"/>
      </w:rPr>
    </w:lvl>
    <w:lvl w:ilvl="6" w:tplc="ABF66DAE" w:tentative="1">
      <w:start w:val="1"/>
      <w:numFmt w:val="bullet"/>
      <w:lvlText w:val="•"/>
      <w:lvlJc w:val="left"/>
      <w:pPr>
        <w:tabs>
          <w:tab w:val="num" w:pos="5040"/>
        </w:tabs>
        <w:ind w:left="5040" w:hanging="360"/>
      </w:pPr>
      <w:rPr>
        <w:rFonts w:ascii="Arial" w:hAnsi="Arial" w:hint="default"/>
      </w:rPr>
    </w:lvl>
    <w:lvl w:ilvl="7" w:tplc="48DC8E98" w:tentative="1">
      <w:start w:val="1"/>
      <w:numFmt w:val="bullet"/>
      <w:lvlText w:val="•"/>
      <w:lvlJc w:val="left"/>
      <w:pPr>
        <w:tabs>
          <w:tab w:val="num" w:pos="5760"/>
        </w:tabs>
        <w:ind w:left="5760" w:hanging="360"/>
      </w:pPr>
      <w:rPr>
        <w:rFonts w:ascii="Arial" w:hAnsi="Arial" w:hint="default"/>
      </w:rPr>
    </w:lvl>
    <w:lvl w:ilvl="8" w:tplc="F7181E5C" w:tentative="1">
      <w:start w:val="1"/>
      <w:numFmt w:val="bullet"/>
      <w:lvlText w:val="•"/>
      <w:lvlJc w:val="left"/>
      <w:pPr>
        <w:tabs>
          <w:tab w:val="num" w:pos="6480"/>
        </w:tabs>
        <w:ind w:left="6480" w:hanging="360"/>
      </w:pPr>
      <w:rPr>
        <w:rFonts w:ascii="Arial" w:hAnsi="Arial" w:hint="default"/>
      </w:rPr>
    </w:lvl>
  </w:abstractNum>
  <w:num w:numId="1">
    <w:abstractNumId w:val="6"/>
  </w:num>
  <w:num w:numId="2">
    <w:abstractNumId w:val="1"/>
  </w:num>
  <w:num w:numId="3">
    <w:abstractNumId w:val="2"/>
  </w:num>
  <w:num w:numId="4">
    <w:abstractNumId w:val="7"/>
  </w:num>
  <w:num w:numId="5">
    <w:abstractNumId w:val="4"/>
  </w:num>
  <w:num w:numId="6">
    <w:abstractNumId w:val="5"/>
  </w:num>
  <w:num w:numId="7">
    <w:abstractNumId w:val="8"/>
  </w:num>
  <w:num w:numId="8">
    <w:abstractNumId w:val="9"/>
  </w:num>
  <w:num w:numId="9">
    <w:abstractNumId w:val="0"/>
  </w:num>
  <w:num w:numId="10">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0E3"/>
    <w:rsid w:val="000027EA"/>
    <w:rsid w:val="00002CDB"/>
    <w:rsid w:val="00004B5C"/>
    <w:rsid w:val="000054AF"/>
    <w:rsid w:val="0000797A"/>
    <w:rsid w:val="00011D0E"/>
    <w:rsid w:val="000121C0"/>
    <w:rsid w:val="0001482A"/>
    <w:rsid w:val="00014BCA"/>
    <w:rsid w:val="00015569"/>
    <w:rsid w:val="00015793"/>
    <w:rsid w:val="00015873"/>
    <w:rsid w:val="0001606C"/>
    <w:rsid w:val="0002191D"/>
    <w:rsid w:val="00021B7D"/>
    <w:rsid w:val="000222CB"/>
    <w:rsid w:val="00023212"/>
    <w:rsid w:val="00023D6E"/>
    <w:rsid w:val="0002426D"/>
    <w:rsid w:val="000266A0"/>
    <w:rsid w:val="00026F21"/>
    <w:rsid w:val="0003040C"/>
    <w:rsid w:val="000306A4"/>
    <w:rsid w:val="00030FBE"/>
    <w:rsid w:val="00031C1D"/>
    <w:rsid w:val="00032308"/>
    <w:rsid w:val="000329AA"/>
    <w:rsid w:val="00032F6B"/>
    <w:rsid w:val="000343F5"/>
    <w:rsid w:val="00034473"/>
    <w:rsid w:val="00035C8A"/>
    <w:rsid w:val="00036802"/>
    <w:rsid w:val="00036E9D"/>
    <w:rsid w:val="00037AA6"/>
    <w:rsid w:val="000404C2"/>
    <w:rsid w:val="0004087B"/>
    <w:rsid w:val="00041C77"/>
    <w:rsid w:val="00041F1E"/>
    <w:rsid w:val="00043A47"/>
    <w:rsid w:val="0004478E"/>
    <w:rsid w:val="0004557B"/>
    <w:rsid w:val="000472D9"/>
    <w:rsid w:val="00047684"/>
    <w:rsid w:val="00047DB7"/>
    <w:rsid w:val="00047F44"/>
    <w:rsid w:val="000519A1"/>
    <w:rsid w:val="00052DFA"/>
    <w:rsid w:val="00053BDB"/>
    <w:rsid w:val="00053C5F"/>
    <w:rsid w:val="00054D06"/>
    <w:rsid w:val="00054DDD"/>
    <w:rsid w:val="00055697"/>
    <w:rsid w:val="00056973"/>
    <w:rsid w:val="000576A7"/>
    <w:rsid w:val="00057DC0"/>
    <w:rsid w:val="00060BF8"/>
    <w:rsid w:val="000626D9"/>
    <w:rsid w:val="000631C2"/>
    <w:rsid w:val="00063B2B"/>
    <w:rsid w:val="000646D3"/>
    <w:rsid w:val="00065840"/>
    <w:rsid w:val="00065B1A"/>
    <w:rsid w:val="000672B2"/>
    <w:rsid w:val="0006733D"/>
    <w:rsid w:val="000728B9"/>
    <w:rsid w:val="00072D4C"/>
    <w:rsid w:val="00074BF1"/>
    <w:rsid w:val="00075A79"/>
    <w:rsid w:val="000804BB"/>
    <w:rsid w:val="000818F7"/>
    <w:rsid w:val="0008193D"/>
    <w:rsid w:val="00082AA4"/>
    <w:rsid w:val="000837A9"/>
    <w:rsid w:val="000854BF"/>
    <w:rsid w:val="0008693B"/>
    <w:rsid w:val="00087287"/>
    <w:rsid w:val="0008738E"/>
    <w:rsid w:val="00087F02"/>
    <w:rsid w:val="00090AB3"/>
    <w:rsid w:val="00092656"/>
    <w:rsid w:val="0009317F"/>
    <w:rsid w:val="00093E7E"/>
    <w:rsid w:val="000940AE"/>
    <w:rsid w:val="00094666"/>
    <w:rsid w:val="0009679F"/>
    <w:rsid w:val="00096F03"/>
    <w:rsid w:val="00096F26"/>
    <w:rsid w:val="000A02F0"/>
    <w:rsid w:val="000A23B4"/>
    <w:rsid w:val="000A28EE"/>
    <w:rsid w:val="000A2E10"/>
    <w:rsid w:val="000A2E1A"/>
    <w:rsid w:val="000A3132"/>
    <w:rsid w:val="000A3578"/>
    <w:rsid w:val="000A46B9"/>
    <w:rsid w:val="000A510F"/>
    <w:rsid w:val="000A75D8"/>
    <w:rsid w:val="000A764D"/>
    <w:rsid w:val="000A7B03"/>
    <w:rsid w:val="000B0020"/>
    <w:rsid w:val="000B0083"/>
    <w:rsid w:val="000B1ACF"/>
    <w:rsid w:val="000B23D1"/>
    <w:rsid w:val="000B27F2"/>
    <w:rsid w:val="000B2EF7"/>
    <w:rsid w:val="000B30B6"/>
    <w:rsid w:val="000B3A12"/>
    <w:rsid w:val="000B42AC"/>
    <w:rsid w:val="000B445B"/>
    <w:rsid w:val="000B4CAE"/>
    <w:rsid w:val="000B5B95"/>
    <w:rsid w:val="000B5C94"/>
    <w:rsid w:val="000C0783"/>
    <w:rsid w:val="000C0E80"/>
    <w:rsid w:val="000C284B"/>
    <w:rsid w:val="000C3999"/>
    <w:rsid w:val="000C43F7"/>
    <w:rsid w:val="000C44A9"/>
    <w:rsid w:val="000C53A9"/>
    <w:rsid w:val="000C77C1"/>
    <w:rsid w:val="000D06B4"/>
    <w:rsid w:val="000D0CCA"/>
    <w:rsid w:val="000D1E9A"/>
    <w:rsid w:val="000D4830"/>
    <w:rsid w:val="000D54C6"/>
    <w:rsid w:val="000D6CFC"/>
    <w:rsid w:val="000E005A"/>
    <w:rsid w:val="000E16EB"/>
    <w:rsid w:val="000E284C"/>
    <w:rsid w:val="000E469E"/>
    <w:rsid w:val="000E4A2D"/>
    <w:rsid w:val="000E54C3"/>
    <w:rsid w:val="000E69EA"/>
    <w:rsid w:val="000F132F"/>
    <w:rsid w:val="000F3EA8"/>
    <w:rsid w:val="000F4EA3"/>
    <w:rsid w:val="000F7592"/>
    <w:rsid w:val="000F7730"/>
    <w:rsid w:val="000F7EFE"/>
    <w:rsid w:val="001002B6"/>
    <w:rsid w:val="00100C4B"/>
    <w:rsid w:val="001010BC"/>
    <w:rsid w:val="0010118B"/>
    <w:rsid w:val="001012D3"/>
    <w:rsid w:val="00101381"/>
    <w:rsid w:val="001014D3"/>
    <w:rsid w:val="00101885"/>
    <w:rsid w:val="001033DD"/>
    <w:rsid w:val="00106D86"/>
    <w:rsid w:val="00107C99"/>
    <w:rsid w:val="00111EC9"/>
    <w:rsid w:val="00112480"/>
    <w:rsid w:val="00112898"/>
    <w:rsid w:val="00112E6E"/>
    <w:rsid w:val="001132F9"/>
    <w:rsid w:val="001135BD"/>
    <w:rsid w:val="00114A5F"/>
    <w:rsid w:val="00115249"/>
    <w:rsid w:val="0011601D"/>
    <w:rsid w:val="00116720"/>
    <w:rsid w:val="0011734D"/>
    <w:rsid w:val="00117A53"/>
    <w:rsid w:val="001200EA"/>
    <w:rsid w:val="001206F8"/>
    <w:rsid w:val="001211BC"/>
    <w:rsid w:val="00121877"/>
    <w:rsid w:val="00121E7E"/>
    <w:rsid w:val="00122A76"/>
    <w:rsid w:val="00123A37"/>
    <w:rsid w:val="00123DF1"/>
    <w:rsid w:val="00124568"/>
    <w:rsid w:val="00126E09"/>
    <w:rsid w:val="00126F16"/>
    <w:rsid w:val="00127382"/>
    <w:rsid w:val="001279D6"/>
    <w:rsid w:val="00130399"/>
    <w:rsid w:val="00131A87"/>
    <w:rsid w:val="001328C8"/>
    <w:rsid w:val="00132A1B"/>
    <w:rsid w:val="00132BEB"/>
    <w:rsid w:val="00133CC7"/>
    <w:rsid w:val="001354B3"/>
    <w:rsid w:val="00135703"/>
    <w:rsid w:val="00135ED2"/>
    <w:rsid w:val="001361C1"/>
    <w:rsid w:val="00137B0F"/>
    <w:rsid w:val="0014010C"/>
    <w:rsid w:val="0014085D"/>
    <w:rsid w:val="00140F67"/>
    <w:rsid w:val="0014136B"/>
    <w:rsid w:val="00141DB0"/>
    <w:rsid w:val="00143961"/>
    <w:rsid w:val="0014420A"/>
    <w:rsid w:val="00144695"/>
    <w:rsid w:val="00146FC5"/>
    <w:rsid w:val="00147CC2"/>
    <w:rsid w:val="001507BF"/>
    <w:rsid w:val="00151018"/>
    <w:rsid w:val="00151D3F"/>
    <w:rsid w:val="00152EF4"/>
    <w:rsid w:val="001534BC"/>
    <w:rsid w:val="00153528"/>
    <w:rsid w:val="001541D5"/>
    <w:rsid w:val="00154A79"/>
    <w:rsid w:val="00154EEC"/>
    <w:rsid w:val="0015718A"/>
    <w:rsid w:val="00157CE8"/>
    <w:rsid w:val="00157E7F"/>
    <w:rsid w:val="00161258"/>
    <w:rsid w:val="0016175A"/>
    <w:rsid w:val="00164FAA"/>
    <w:rsid w:val="0016596F"/>
    <w:rsid w:val="00172031"/>
    <w:rsid w:val="00173323"/>
    <w:rsid w:val="00173389"/>
    <w:rsid w:val="00173918"/>
    <w:rsid w:val="0017415A"/>
    <w:rsid w:val="00174296"/>
    <w:rsid w:val="00175920"/>
    <w:rsid w:val="00177DC6"/>
    <w:rsid w:val="00181A04"/>
    <w:rsid w:val="00182B95"/>
    <w:rsid w:val="001835D6"/>
    <w:rsid w:val="001842CE"/>
    <w:rsid w:val="00184BD1"/>
    <w:rsid w:val="00185345"/>
    <w:rsid w:val="00185E5B"/>
    <w:rsid w:val="001911A9"/>
    <w:rsid w:val="00191AD9"/>
    <w:rsid w:val="00191EED"/>
    <w:rsid w:val="0019315E"/>
    <w:rsid w:val="001937BB"/>
    <w:rsid w:val="00193FAB"/>
    <w:rsid w:val="00194839"/>
    <w:rsid w:val="00194E22"/>
    <w:rsid w:val="00194FCC"/>
    <w:rsid w:val="001968B4"/>
    <w:rsid w:val="00196BAE"/>
    <w:rsid w:val="0019768C"/>
    <w:rsid w:val="001A056D"/>
    <w:rsid w:val="001A08AA"/>
    <w:rsid w:val="001A0F90"/>
    <w:rsid w:val="001A1BDF"/>
    <w:rsid w:val="001A1CDC"/>
    <w:rsid w:val="001A27BF"/>
    <w:rsid w:val="001A311F"/>
    <w:rsid w:val="001A3437"/>
    <w:rsid w:val="001A4EA6"/>
    <w:rsid w:val="001A5826"/>
    <w:rsid w:val="001A6300"/>
    <w:rsid w:val="001B3867"/>
    <w:rsid w:val="001B3D47"/>
    <w:rsid w:val="001B5289"/>
    <w:rsid w:val="001C0568"/>
    <w:rsid w:val="001C0958"/>
    <w:rsid w:val="001C0D39"/>
    <w:rsid w:val="001C2EA0"/>
    <w:rsid w:val="001C53BB"/>
    <w:rsid w:val="001C5A24"/>
    <w:rsid w:val="001D028C"/>
    <w:rsid w:val="001D131B"/>
    <w:rsid w:val="001D4B2F"/>
    <w:rsid w:val="001D50EA"/>
    <w:rsid w:val="001D64C9"/>
    <w:rsid w:val="001D72E5"/>
    <w:rsid w:val="001D7D29"/>
    <w:rsid w:val="001E0941"/>
    <w:rsid w:val="001E11B3"/>
    <w:rsid w:val="001E19B5"/>
    <w:rsid w:val="001E3B39"/>
    <w:rsid w:val="001E63A1"/>
    <w:rsid w:val="001E653D"/>
    <w:rsid w:val="001E6EB7"/>
    <w:rsid w:val="001E7D11"/>
    <w:rsid w:val="001F20F2"/>
    <w:rsid w:val="001F3A4A"/>
    <w:rsid w:val="001F4C17"/>
    <w:rsid w:val="001F6689"/>
    <w:rsid w:val="001F68B2"/>
    <w:rsid w:val="001F7E47"/>
    <w:rsid w:val="002004AE"/>
    <w:rsid w:val="00201BAC"/>
    <w:rsid w:val="002021E2"/>
    <w:rsid w:val="002023A0"/>
    <w:rsid w:val="002023BA"/>
    <w:rsid w:val="002029AF"/>
    <w:rsid w:val="00202AE7"/>
    <w:rsid w:val="00204ADC"/>
    <w:rsid w:val="00205923"/>
    <w:rsid w:val="0020670D"/>
    <w:rsid w:val="00207768"/>
    <w:rsid w:val="002101E7"/>
    <w:rsid w:val="00210354"/>
    <w:rsid w:val="0021101A"/>
    <w:rsid w:val="0021141F"/>
    <w:rsid w:val="002119C8"/>
    <w:rsid w:val="00211C4A"/>
    <w:rsid w:val="00212373"/>
    <w:rsid w:val="0021250B"/>
    <w:rsid w:val="00212513"/>
    <w:rsid w:val="00212692"/>
    <w:rsid w:val="002138EA"/>
    <w:rsid w:val="00213EB0"/>
    <w:rsid w:val="00213EE0"/>
    <w:rsid w:val="00213EE2"/>
    <w:rsid w:val="002142EF"/>
    <w:rsid w:val="002143B4"/>
    <w:rsid w:val="00214FBD"/>
    <w:rsid w:val="002152A6"/>
    <w:rsid w:val="00216D2C"/>
    <w:rsid w:val="00217582"/>
    <w:rsid w:val="00221759"/>
    <w:rsid w:val="0022237A"/>
    <w:rsid w:val="002223A7"/>
    <w:rsid w:val="00222699"/>
    <w:rsid w:val="00222897"/>
    <w:rsid w:val="002240BE"/>
    <w:rsid w:val="0022456E"/>
    <w:rsid w:val="00224E7E"/>
    <w:rsid w:val="00225FE0"/>
    <w:rsid w:val="002264C6"/>
    <w:rsid w:val="00230294"/>
    <w:rsid w:val="0023110B"/>
    <w:rsid w:val="00235394"/>
    <w:rsid w:val="00235680"/>
    <w:rsid w:val="00235A9B"/>
    <w:rsid w:val="00237173"/>
    <w:rsid w:val="0024001D"/>
    <w:rsid w:val="00240BE3"/>
    <w:rsid w:val="002419D0"/>
    <w:rsid w:val="00241BBA"/>
    <w:rsid w:val="00241D4B"/>
    <w:rsid w:val="00243323"/>
    <w:rsid w:val="00244FD8"/>
    <w:rsid w:val="00245B82"/>
    <w:rsid w:val="00245EA4"/>
    <w:rsid w:val="0024632F"/>
    <w:rsid w:val="0024674A"/>
    <w:rsid w:val="0025028C"/>
    <w:rsid w:val="002506F0"/>
    <w:rsid w:val="002507DA"/>
    <w:rsid w:val="00252EB7"/>
    <w:rsid w:val="00253CD8"/>
    <w:rsid w:val="002549FC"/>
    <w:rsid w:val="00256945"/>
    <w:rsid w:val="002570A5"/>
    <w:rsid w:val="00257500"/>
    <w:rsid w:val="00257A12"/>
    <w:rsid w:val="00257F24"/>
    <w:rsid w:val="0026179F"/>
    <w:rsid w:val="00262B48"/>
    <w:rsid w:val="00264F41"/>
    <w:rsid w:val="0026546F"/>
    <w:rsid w:val="00265893"/>
    <w:rsid w:val="002660D2"/>
    <w:rsid w:val="0026698C"/>
    <w:rsid w:val="00274E1A"/>
    <w:rsid w:val="00275E1D"/>
    <w:rsid w:val="00275E88"/>
    <w:rsid w:val="002770F4"/>
    <w:rsid w:val="00277420"/>
    <w:rsid w:val="00277E9D"/>
    <w:rsid w:val="00281609"/>
    <w:rsid w:val="00282213"/>
    <w:rsid w:val="00283ECB"/>
    <w:rsid w:val="002863A3"/>
    <w:rsid w:val="00287850"/>
    <w:rsid w:val="00287BC6"/>
    <w:rsid w:val="00290D7F"/>
    <w:rsid w:val="00290F4F"/>
    <w:rsid w:val="0029193E"/>
    <w:rsid w:val="00292870"/>
    <w:rsid w:val="0029299D"/>
    <w:rsid w:val="00294E20"/>
    <w:rsid w:val="00297444"/>
    <w:rsid w:val="00297FB4"/>
    <w:rsid w:val="002A01D0"/>
    <w:rsid w:val="002A1684"/>
    <w:rsid w:val="002A2935"/>
    <w:rsid w:val="002A2D8B"/>
    <w:rsid w:val="002A3D08"/>
    <w:rsid w:val="002A4C60"/>
    <w:rsid w:val="002A63E4"/>
    <w:rsid w:val="002A6FE9"/>
    <w:rsid w:val="002B1B3B"/>
    <w:rsid w:val="002B1D62"/>
    <w:rsid w:val="002B2B06"/>
    <w:rsid w:val="002B2D98"/>
    <w:rsid w:val="002B3815"/>
    <w:rsid w:val="002B419D"/>
    <w:rsid w:val="002B429C"/>
    <w:rsid w:val="002B4EF6"/>
    <w:rsid w:val="002B594C"/>
    <w:rsid w:val="002B6292"/>
    <w:rsid w:val="002B6CEF"/>
    <w:rsid w:val="002B7BC4"/>
    <w:rsid w:val="002B7BFF"/>
    <w:rsid w:val="002C3EB2"/>
    <w:rsid w:val="002C3F4C"/>
    <w:rsid w:val="002C5300"/>
    <w:rsid w:val="002C77FF"/>
    <w:rsid w:val="002D06F5"/>
    <w:rsid w:val="002D1BF6"/>
    <w:rsid w:val="002D25CF"/>
    <w:rsid w:val="002D2C39"/>
    <w:rsid w:val="002D36ED"/>
    <w:rsid w:val="002D402C"/>
    <w:rsid w:val="002D44AF"/>
    <w:rsid w:val="002D483F"/>
    <w:rsid w:val="002D59A0"/>
    <w:rsid w:val="002D69AB"/>
    <w:rsid w:val="002E0151"/>
    <w:rsid w:val="002E08D7"/>
    <w:rsid w:val="002E42E8"/>
    <w:rsid w:val="002E4368"/>
    <w:rsid w:val="002E5799"/>
    <w:rsid w:val="002E5EFC"/>
    <w:rsid w:val="002E6BC6"/>
    <w:rsid w:val="002E7DE5"/>
    <w:rsid w:val="002F01C0"/>
    <w:rsid w:val="002F030F"/>
    <w:rsid w:val="002F1A50"/>
    <w:rsid w:val="002F1F87"/>
    <w:rsid w:val="002F2B29"/>
    <w:rsid w:val="002F300C"/>
    <w:rsid w:val="002F3BD7"/>
    <w:rsid w:val="002F3F42"/>
    <w:rsid w:val="002F4093"/>
    <w:rsid w:val="002F40CC"/>
    <w:rsid w:val="002F428E"/>
    <w:rsid w:val="002F4ABC"/>
    <w:rsid w:val="002F63F6"/>
    <w:rsid w:val="002F7D50"/>
    <w:rsid w:val="00300D2E"/>
    <w:rsid w:val="00301D28"/>
    <w:rsid w:val="00302C96"/>
    <w:rsid w:val="003052DA"/>
    <w:rsid w:val="003068AB"/>
    <w:rsid w:val="003071FF"/>
    <w:rsid w:val="00310865"/>
    <w:rsid w:val="00310B96"/>
    <w:rsid w:val="00312732"/>
    <w:rsid w:val="00312C8F"/>
    <w:rsid w:val="00313089"/>
    <w:rsid w:val="003140CB"/>
    <w:rsid w:val="00314251"/>
    <w:rsid w:val="0031500B"/>
    <w:rsid w:val="003168BC"/>
    <w:rsid w:val="00317783"/>
    <w:rsid w:val="003210CC"/>
    <w:rsid w:val="0032165D"/>
    <w:rsid w:val="003230B0"/>
    <w:rsid w:val="00323842"/>
    <w:rsid w:val="00323F73"/>
    <w:rsid w:val="00325911"/>
    <w:rsid w:val="00325AD5"/>
    <w:rsid w:val="00326B16"/>
    <w:rsid w:val="00327071"/>
    <w:rsid w:val="0033088D"/>
    <w:rsid w:val="00330AB0"/>
    <w:rsid w:val="00331B14"/>
    <w:rsid w:val="00331DCD"/>
    <w:rsid w:val="00331F8D"/>
    <w:rsid w:val="00331F9B"/>
    <w:rsid w:val="00333D0A"/>
    <w:rsid w:val="00334800"/>
    <w:rsid w:val="003366B3"/>
    <w:rsid w:val="003379C2"/>
    <w:rsid w:val="00337E39"/>
    <w:rsid w:val="00340510"/>
    <w:rsid w:val="003411C2"/>
    <w:rsid w:val="00341A86"/>
    <w:rsid w:val="00342018"/>
    <w:rsid w:val="00342AAB"/>
    <w:rsid w:val="00343440"/>
    <w:rsid w:val="003464EE"/>
    <w:rsid w:val="00346EF9"/>
    <w:rsid w:val="00347756"/>
    <w:rsid w:val="003508C7"/>
    <w:rsid w:val="00350C71"/>
    <w:rsid w:val="00350E37"/>
    <w:rsid w:val="003540D1"/>
    <w:rsid w:val="00354EBB"/>
    <w:rsid w:val="00355BF1"/>
    <w:rsid w:val="00356531"/>
    <w:rsid w:val="003569A0"/>
    <w:rsid w:val="003573FE"/>
    <w:rsid w:val="003579DB"/>
    <w:rsid w:val="00357DDA"/>
    <w:rsid w:val="00361E29"/>
    <w:rsid w:val="003628F4"/>
    <w:rsid w:val="00362BD0"/>
    <w:rsid w:val="0036363F"/>
    <w:rsid w:val="00364521"/>
    <w:rsid w:val="0036466B"/>
    <w:rsid w:val="00364CFD"/>
    <w:rsid w:val="00364D8E"/>
    <w:rsid w:val="00365130"/>
    <w:rsid w:val="00365335"/>
    <w:rsid w:val="00366EDD"/>
    <w:rsid w:val="00367724"/>
    <w:rsid w:val="00367AC1"/>
    <w:rsid w:val="00367D08"/>
    <w:rsid w:val="0037097E"/>
    <w:rsid w:val="00370A22"/>
    <w:rsid w:val="00371DCC"/>
    <w:rsid w:val="00373D27"/>
    <w:rsid w:val="00374C38"/>
    <w:rsid w:val="00375C88"/>
    <w:rsid w:val="00377B02"/>
    <w:rsid w:val="00381E61"/>
    <w:rsid w:val="00382F79"/>
    <w:rsid w:val="00384502"/>
    <w:rsid w:val="003848DB"/>
    <w:rsid w:val="003879EA"/>
    <w:rsid w:val="00390666"/>
    <w:rsid w:val="0039066E"/>
    <w:rsid w:val="00390935"/>
    <w:rsid w:val="00395C28"/>
    <w:rsid w:val="003965BC"/>
    <w:rsid w:val="003969DE"/>
    <w:rsid w:val="00396D99"/>
    <w:rsid w:val="003978CE"/>
    <w:rsid w:val="003A09A8"/>
    <w:rsid w:val="003A20DF"/>
    <w:rsid w:val="003A32BD"/>
    <w:rsid w:val="003A46D8"/>
    <w:rsid w:val="003A5015"/>
    <w:rsid w:val="003A59AC"/>
    <w:rsid w:val="003A5B89"/>
    <w:rsid w:val="003A5C90"/>
    <w:rsid w:val="003A5FA4"/>
    <w:rsid w:val="003A6535"/>
    <w:rsid w:val="003A7FDA"/>
    <w:rsid w:val="003B037E"/>
    <w:rsid w:val="003B1405"/>
    <w:rsid w:val="003B1426"/>
    <w:rsid w:val="003B1CD7"/>
    <w:rsid w:val="003B25A7"/>
    <w:rsid w:val="003B360D"/>
    <w:rsid w:val="003B42CA"/>
    <w:rsid w:val="003B5123"/>
    <w:rsid w:val="003B63FF"/>
    <w:rsid w:val="003C1BD4"/>
    <w:rsid w:val="003C245B"/>
    <w:rsid w:val="003C2562"/>
    <w:rsid w:val="003C2DC1"/>
    <w:rsid w:val="003C3166"/>
    <w:rsid w:val="003C4DF7"/>
    <w:rsid w:val="003C5688"/>
    <w:rsid w:val="003C5797"/>
    <w:rsid w:val="003C6806"/>
    <w:rsid w:val="003C7C79"/>
    <w:rsid w:val="003D0233"/>
    <w:rsid w:val="003D187B"/>
    <w:rsid w:val="003D1EED"/>
    <w:rsid w:val="003D1F33"/>
    <w:rsid w:val="003D3659"/>
    <w:rsid w:val="003D40E4"/>
    <w:rsid w:val="003D4535"/>
    <w:rsid w:val="003D5DA3"/>
    <w:rsid w:val="003D7032"/>
    <w:rsid w:val="003D716A"/>
    <w:rsid w:val="003D763C"/>
    <w:rsid w:val="003E040F"/>
    <w:rsid w:val="003E05F6"/>
    <w:rsid w:val="003E1E73"/>
    <w:rsid w:val="003E241D"/>
    <w:rsid w:val="003E2DB0"/>
    <w:rsid w:val="003E3434"/>
    <w:rsid w:val="003E39EA"/>
    <w:rsid w:val="003E46A8"/>
    <w:rsid w:val="003E4FFB"/>
    <w:rsid w:val="003E5EAB"/>
    <w:rsid w:val="003E5F4C"/>
    <w:rsid w:val="003E5F52"/>
    <w:rsid w:val="003E6A58"/>
    <w:rsid w:val="003F04F5"/>
    <w:rsid w:val="003F11E8"/>
    <w:rsid w:val="003F1503"/>
    <w:rsid w:val="003F1B8C"/>
    <w:rsid w:val="003F2A81"/>
    <w:rsid w:val="003F2EC2"/>
    <w:rsid w:val="003F3F83"/>
    <w:rsid w:val="003F41C8"/>
    <w:rsid w:val="003F61EF"/>
    <w:rsid w:val="003F6410"/>
    <w:rsid w:val="003F6700"/>
    <w:rsid w:val="00400AC4"/>
    <w:rsid w:val="00401562"/>
    <w:rsid w:val="004027A0"/>
    <w:rsid w:val="00404250"/>
    <w:rsid w:val="00404575"/>
    <w:rsid w:val="004048A8"/>
    <w:rsid w:val="00405657"/>
    <w:rsid w:val="00405787"/>
    <w:rsid w:val="00405FD9"/>
    <w:rsid w:val="004067EE"/>
    <w:rsid w:val="00406E27"/>
    <w:rsid w:val="00407387"/>
    <w:rsid w:val="00410598"/>
    <w:rsid w:val="00413D74"/>
    <w:rsid w:val="00413E80"/>
    <w:rsid w:val="0041441E"/>
    <w:rsid w:val="004145EC"/>
    <w:rsid w:val="00415DFC"/>
    <w:rsid w:val="004167EB"/>
    <w:rsid w:val="0041688B"/>
    <w:rsid w:val="0042109B"/>
    <w:rsid w:val="00421F3E"/>
    <w:rsid w:val="00422A70"/>
    <w:rsid w:val="00423C66"/>
    <w:rsid w:val="00424ED4"/>
    <w:rsid w:val="00427DBF"/>
    <w:rsid w:val="00436340"/>
    <w:rsid w:val="00436526"/>
    <w:rsid w:val="00442F6C"/>
    <w:rsid w:val="004439C6"/>
    <w:rsid w:val="00444225"/>
    <w:rsid w:val="00445D09"/>
    <w:rsid w:val="00445D1B"/>
    <w:rsid w:val="004502EA"/>
    <w:rsid w:val="00451EAB"/>
    <w:rsid w:val="00452AF3"/>
    <w:rsid w:val="004539A7"/>
    <w:rsid w:val="00453BA4"/>
    <w:rsid w:val="00454F89"/>
    <w:rsid w:val="00455F80"/>
    <w:rsid w:val="0045641A"/>
    <w:rsid w:val="00456BEA"/>
    <w:rsid w:val="00456E62"/>
    <w:rsid w:val="00457C47"/>
    <w:rsid w:val="0046047D"/>
    <w:rsid w:val="00462256"/>
    <w:rsid w:val="004649C3"/>
    <w:rsid w:val="00464B6C"/>
    <w:rsid w:val="004652DB"/>
    <w:rsid w:val="004707C7"/>
    <w:rsid w:val="004714C0"/>
    <w:rsid w:val="004714DD"/>
    <w:rsid w:val="00472056"/>
    <w:rsid w:val="00473182"/>
    <w:rsid w:val="00474A93"/>
    <w:rsid w:val="00475406"/>
    <w:rsid w:val="00476B2F"/>
    <w:rsid w:val="00476EF3"/>
    <w:rsid w:val="00476FC9"/>
    <w:rsid w:val="0048125D"/>
    <w:rsid w:val="00481B8C"/>
    <w:rsid w:val="004825DC"/>
    <w:rsid w:val="00482CB5"/>
    <w:rsid w:val="00482D25"/>
    <w:rsid w:val="0048451B"/>
    <w:rsid w:val="00484D69"/>
    <w:rsid w:val="00485876"/>
    <w:rsid w:val="00486C15"/>
    <w:rsid w:val="00487CBA"/>
    <w:rsid w:val="00491966"/>
    <w:rsid w:val="0049235C"/>
    <w:rsid w:val="00492FA8"/>
    <w:rsid w:val="00494125"/>
    <w:rsid w:val="004944F1"/>
    <w:rsid w:val="004948C8"/>
    <w:rsid w:val="00494954"/>
    <w:rsid w:val="00494C54"/>
    <w:rsid w:val="00496C45"/>
    <w:rsid w:val="00496D4E"/>
    <w:rsid w:val="004970DB"/>
    <w:rsid w:val="00497D93"/>
    <w:rsid w:val="004A07B6"/>
    <w:rsid w:val="004A146B"/>
    <w:rsid w:val="004A17C7"/>
    <w:rsid w:val="004A215D"/>
    <w:rsid w:val="004A2579"/>
    <w:rsid w:val="004A5322"/>
    <w:rsid w:val="004A6A03"/>
    <w:rsid w:val="004B1ECD"/>
    <w:rsid w:val="004B253D"/>
    <w:rsid w:val="004B26E9"/>
    <w:rsid w:val="004B327D"/>
    <w:rsid w:val="004B34BE"/>
    <w:rsid w:val="004B3C4D"/>
    <w:rsid w:val="004B4EF0"/>
    <w:rsid w:val="004B5C7C"/>
    <w:rsid w:val="004B5FDC"/>
    <w:rsid w:val="004B65B3"/>
    <w:rsid w:val="004B6C95"/>
    <w:rsid w:val="004B7F7A"/>
    <w:rsid w:val="004C0650"/>
    <w:rsid w:val="004C0F9C"/>
    <w:rsid w:val="004C151B"/>
    <w:rsid w:val="004C1D4B"/>
    <w:rsid w:val="004C3E90"/>
    <w:rsid w:val="004C4D28"/>
    <w:rsid w:val="004C58A6"/>
    <w:rsid w:val="004C6314"/>
    <w:rsid w:val="004C68B3"/>
    <w:rsid w:val="004D0321"/>
    <w:rsid w:val="004D065A"/>
    <w:rsid w:val="004D1531"/>
    <w:rsid w:val="004D1BEE"/>
    <w:rsid w:val="004D43D5"/>
    <w:rsid w:val="004D578D"/>
    <w:rsid w:val="004D658B"/>
    <w:rsid w:val="004D69A7"/>
    <w:rsid w:val="004E13F4"/>
    <w:rsid w:val="004E15BB"/>
    <w:rsid w:val="004E23DE"/>
    <w:rsid w:val="004E2B68"/>
    <w:rsid w:val="004E34F7"/>
    <w:rsid w:val="004E4003"/>
    <w:rsid w:val="004E4131"/>
    <w:rsid w:val="004E4AF8"/>
    <w:rsid w:val="004E500C"/>
    <w:rsid w:val="004E5190"/>
    <w:rsid w:val="004E72E8"/>
    <w:rsid w:val="004E7758"/>
    <w:rsid w:val="004F03DF"/>
    <w:rsid w:val="004F0B5D"/>
    <w:rsid w:val="004F402C"/>
    <w:rsid w:val="004F59A8"/>
    <w:rsid w:val="004F5A72"/>
    <w:rsid w:val="004F6E91"/>
    <w:rsid w:val="004F74EA"/>
    <w:rsid w:val="0050032F"/>
    <w:rsid w:val="005005DE"/>
    <w:rsid w:val="00501517"/>
    <w:rsid w:val="0050169B"/>
    <w:rsid w:val="005027EA"/>
    <w:rsid w:val="00502EF2"/>
    <w:rsid w:val="00503690"/>
    <w:rsid w:val="00503737"/>
    <w:rsid w:val="00503C68"/>
    <w:rsid w:val="00504C1D"/>
    <w:rsid w:val="00505BFA"/>
    <w:rsid w:val="00506586"/>
    <w:rsid w:val="005111CD"/>
    <w:rsid w:val="00512307"/>
    <w:rsid w:val="00512D4B"/>
    <w:rsid w:val="00513111"/>
    <w:rsid w:val="00513BF6"/>
    <w:rsid w:val="00513C96"/>
    <w:rsid w:val="00513E1C"/>
    <w:rsid w:val="0051532E"/>
    <w:rsid w:val="00520147"/>
    <w:rsid w:val="005203DE"/>
    <w:rsid w:val="00520FA3"/>
    <w:rsid w:val="0052180F"/>
    <w:rsid w:val="00521E1A"/>
    <w:rsid w:val="00522B2B"/>
    <w:rsid w:val="00523712"/>
    <w:rsid w:val="00523A04"/>
    <w:rsid w:val="00524000"/>
    <w:rsid w:val="0052455F"/>
    <w:rsid w:val="00525243"/>
    <w:rsid w:val="005259DC"/>
    <w:rsid w:val="005265BC"/>
    <w:rsid w:val="00526A3E"/>
    <w:rsid w:val="0052731E"/>
    <w:rsid w:val="00530A13"/>
    <w:rsid w:val="00530F0C"/>
    <w:rsid w:val="00531216"/>
    <w:rsid w:val="0053520D"/>
    <w:rsid w:val="00536063"/>
    <w:rsid w:val="00536AB5"/>
    <w:rsid w:val="005400D0"/>
    <w:rsid w:val="005406D9"/>
    <w:rsid w:val="005412AC"/>
    <w:rsid w:val="005436F9"/>
    <w:rsid w:val="00547134"/>
    <w:rsid w:val="00547A1C"/>
    <w:rsid w:val="00551B47"/>
    <w:rsid w:val="00551E65"/>
    <w:rsid w:val="0055300A"/>
    <w:rsid w:val="005534EE"/>
    <w:rsid w:val="0055388B"/>
    <w:rsid w:val="00553AE6"/>
    <w:rsid w:val="00553BF8"/>
    <w:rsid w:val="00554E86"/>
    <w:rsid w:val="00556011"/>
    <w:rsid w:val="00556974"/>
    <w:rsid w:val="00556A55"/>
    <w:rsid w:val="00556CF2"/>
    <w:rsid w:val="00561966"/>
    <w:rsid w:val="005630CB"/>
    <w:rsid w:val="00563111"/>
    <w:rsid w:val="0056452C"/>
    <w:rsid w:val="00564539"/>
    <w:rsid w:val="00564E01"/>
    <w:rsid w:val="00564E6F"/>
    <w:rsid w:val="00565333"/>
    <w:rsid w:val="00571E87"/>
    <w:rsid w:val="005723CF"/>
    <w:rsid w:val="005724AC"/>
    <w:rsid w:val="00573269"/>
    <w:rsid w:val="005758E4"/>
    <w:rsid w:val="00575BB0"/>
    <w:rsid w:val="00577349"/>
    <w:rsid w:val="00577842"/>
    <w:rsid w:val="00577947"/>
    <w:rsid w:val="00577A8F"/>
    <w:rsid w:val="00577CC7"/>
    <w:rsid w:val="00580522"/>
    <w:rsid w:val="005806AA"/>
    <w:rsid w:val="00580EF2"/>
    <w:rsid w:val="005834BA"/>
    <w:rsid w:val="00586643"/>
    <w:rsid w:val="0058668B"/>
    <w:rsid w:val="00586BDE"/>
    <w:rsid w:val="00592273"/>
    <w:rsid w:val="00593026"/>
    <w:rsid w:val="005934C4"/>
    <w:rsid w:val="005936E2"/>
    <w:rsid w:val="005937DC"/>
    <w:rsid w:val="00593800"/>
    <w:rsid w:val="0059450C"/>
    <w:rsid w:val="00595B59"/>
    <w:rsid w:val="0059650A"/>
    <w:rsid w:val="005A023B"/>
    <w:rsid w:val="005A17B1"/>
    <w:rsid w:val="005A2AED"/>
    <w:rsid w:val="005A40A6"/>
    <w:rsid w:val="005A535B"/>
    <w:rsid w:val="005A551D"/>
    <w:rsid w:val="005A6683"/>
    <w:rsid w:val="005B193D"/>
    <w:rsid w:val="005B1F15"/>
    <w:rsid w:val="005B3F53"/>
    <w:rsid w:val="005B4416"/>
    <w:rsid w:val="005B4EE5"/>
    <w:rsid w:val="005B5C1C"/>
    <w:rsid w:val="005B6EAB"/>
    <w:rsid w:val="005B7BAE"/>
    <w:rsid w:val="005C019D"/>
    <w:rsid w:val="005C335A"/>
    <w:rsid w:val="005C453E"/>
    <w:rsid w:val="005C4CA3"/>
    <w:rsid w:val="005C4E15"/>
    <w:rsid w:val="005C4F05"/>
    <w:rsid w:val="005C6F72"/>
    <w:rsid w:val="005C7375"/>
    <w:rsid w:val="005C74BE"/>
    <w:rsid w:val="005C7CB5"/>
    <w:rsid w:val="005C7EF7"/>
    <w:rsid w:val="005D2673"/>
    <w:rsid w:val="005D303F"/>
    <w:rsid w:val="005D3059"/>
    <w:rsid w:val="005D3928"/>
    <w:rsid w:val="005D432F"/>
    <w:rsid w:val="005D47F0"/>
    <w:rsid w:val="005D4BB3"/>
    <w:rsid w:val="005D4C01"/>
    <w:rsid w:val="005D5EEE"/>
    <w:rsid w:val="005E0178"/>
    <w:rsid w:val="005E0DCD"/>
    <w:rsid w:val="005E4724"/>
    <w:rsid w:val="005E4C78"/>
    <w:rsid w:val="005E5985"/>
    <w:rsid w:val="005E5BB5"/>
    <w:rsid w:val="005E7768"/>
    <w:rsid w:val="005E7CB6"/>
    <w:rsid w:val="005E7E39"/>
    <w:rsid w:val="005F0E0E"/>
    <w:rsid w:val="005F1AA7"/>
    <w:rsid w:val="005F2116"/>
    <w:rsid w:val="005F48A7"/>
    <w:rsid w:val="005F55A3"/>
    <w:rsid w:val="005F55F8"/>
    <w:rsid w:val="005F57B4"/>
    <w:rsid w:val="005F5F18"/>
    <w:rsid w:val="005F6D50"/>
    <w:rsid w:val="006002C5"/>
    <w:rsid w:val="006003DF"/>
    <w:rsid w:val="00601791"/>
    <w:rsid w:val="00601BCD"/>
    <w:rsid w:val="006033BC"/>
    <w:rsid w:val="0060469B"/>
    <w:rsid w:val="00604BED"/>
    <w:rsid w:val="006075CD"/>
    <w:rsid w:val="00607FC1"/>
    <w:rsid w:val="0061035E"/>
    <w:rsid w:val="00610D75"/>
    <w:rsid w:val="006110AF"/>
    <w:rsid w:val="006113D3"/>
    <w:rsid w:val="0061230B"/>
    <w:rsid w:val="00612554"/>
    <w:rsid w:val="006144D6"/>
    <w:rsid w:val="00614561"/>
    <w:rsid w:val="00617472"/>
    <w:rsid w:val="00617873"/>
    <w:rsid w:val="00620032"/>
    <w:rsid w:val="00621321"/>
    <w:rsid w:val="00622066"/>
    <w:rsid w:val="006226BC"/>
    <w:rsid w:val="00624011"/>
    <w:rsid w:val="00624743"/>
    <w:rsid w:val="006258C4"/>
    <w:rsid w:val="0063019F"/>
    <w:rsid w:val="00630F44"/>
    <w:rsid w:val="0063179F"/>
    <w:rsid w:val="006320EF"/>
    <w:rsid w:val="00633B49"/>
    <w:rsid w:val="00634377"/>
    <w:rsid w:val="00634586"/>
    <w:rsid w:val="006351F9"/>
    <w:rsid w:val="00635CF3"/>
    <w:rsid w:val="00636077"/>
    <w:rsid w:val="0063696E"/>
    <w:rsid w:val="00636BCC"/>
    <w:rsid w:val="006379CF"/>
    <w:rsid w:val="00640116"/>
    <w:rsid w:val="006428A0"/>
    <w:rsid w:val="0064474D"/>
    <w:rsid w:val="00644ADB"/>
    <w:rsid w:val="00644DBB"/>
    <w:rsid w:val="00645845"/>
    <w:rsid w:val="00646B33"/>
    <w:rsid w:val="00646C17"/>
    <w:rsid w:val="00647085"/>
    <w:rsid w:val="00647F5D"/>
    <w:rsid w:val="006517D0"/>
    <w:rsid w:val="00651807"/>
    <w:rsid w:val="00651DF0"/>
    <w:rsid w:val="006524ED"/>
    <w:rsid w:val="006525CF"/>
    <w:rsid w:val="00652C5D"/>
    <w:rsid w:val="0065310A"/>
    <w:rsid w:val="00653821"/>
    <w:rsid w:val="00653B0E"/>
    <w:rsid w:val="00654F94"/>
    <w:rsid w:val="006557C0"/>
    <w:rsid w:val="0065668D"/>
    <w:rsid w:val="00656D64"/>
    <w:rsid w:val="0065702D"/>
    <w:rsid w:val="00657084"/>
    <w:rsid w:val="00662682"/>
    <w:rsid w:val="0066275E"/>
    <w:rsid w:val="00662AA0"/>
    <w:rsid w:val="00663C2D"/>
    <w:rsid w:val="00664201"/>
    <w:rsid w:val="00665A62"/>
    <w:rsid w:val="00665C04"/>
    <w:rsid w:val="00666664"/>
    <w:rsid w:val="00666E89"/>
    <w:rsid w:val="0066734B"/>
    <w:rsid w:val="00670166"/>
    <w:rsid w:val="00670B59"/>
    <w:rsid w:val="00671BEF"/>
    <w:rsid w:val="00671FB7"/>
    <w:rsid w:val="00674096"/>
    <w:rsid w:val="006748C8"/>
    <w:rsid w:val="00674C3D"/>
    <w:rsid w:val="00675AB9"/>
    <w:rsid w:val="00676F9F"/>
    <w:rsid w:val="00677084"/>
    <w:rsid w:val="0068259C"/>
    <w:rsid w:val="0068272F"/>
    <w:rsid w:val="00683EB8"/>
    <w:rsid w:val="00684722"/>
    <w:rsid w:val="0068496A"/>
    <w:rsid w:val="00684B13"/>
    <w:rsid w:val="0068602C"/>
    <w:rsid w:val="0068666D"/>
    <w:rsid w:val="006901BF"/>
    <w:rsid w:val="00690EB8"/>
    <w:rsid w:val="00692002"/>
    <w:rsid w:val="00692087"/>
    <w:rsid w:val="00693FFE"/>
    <w:rsid w:val="00695826"/>
    <w:rsid w:val="006A1D99"/>
    <w:rsid w:val="006A2A3E"/>
    <w:rsid w:val="006A5912"/>
    <w:rsid w:val="006A5938"/>
    <w:rsid w:val="006B06BA"/>
    <w:rsid w:val="006B09A6"/>
    <w:rsid w:val="006B2F94"/>
    <w:rsid w:val="006B3667"/>
    <w:rsid w:val="006B4703"/>
    <w:rsid w:val="006B562D"/>
    <w:rsid w:val="006B5990"/>
    <w:rsid w:val="006B721C"/>
    <w:rsid w:val="006B737D"/>
    <w:rsid w:val="006C08AD"/>
    <w:rsid w:val="006C1A9C"/>
    <w:rsid w:val="006C23F8"/>
    <w:rsid w:val="006C3B27"/>
    <w:rsid w:val="006C3D51"/>
    <w:rsid w:val="006C3DE7"/>
    <w:rsid w:val="006C3E68"/>
    <w:rsid w:val="006C4883"/>
    <w:rsid w:val="006C5488"/>
    <w:rsid w:val="006C5991"/>
    <w:rsid w:val="006C617C"/>
    <w:rsid w:val="006C7CF2"/>
    <w:rsid w:val="006D045A"/>
    <w:rsid w:val="006D10DE"/>
    <w:rsid w:val="006D112A"/>
    <w:rsid w:val="006D1231"/>
    <w:rsid w:val="006D24CA"/>
    <w:rsid w:val="006D2C0C"/>
    <w:rsid w:val="006D39DE"/>
    <w:rsid w:val="006D653C"/>
    <w:rsid w:val="006D69C6"/>
    <w:rsid w:val="006D6D17"/>
    <w:rsid w:val="006E0979"/>
    <w:rsid w:val="006E30A3"/>
    <w:rsid w:val="006E3251"/>
    <w:rsid w:val="006E4526"/>
    <w:rsid w:val="006E50C9"/>
    <w:rsid w:val="006E6BF4"/>
    <w:rsid w:val="006E7B14"/>
    <w:rsid w:val="006F2CE0"/>
    <w:rsid w:val="006F481A"/>
    <w:rsid w:val="006F54EB"/>
    <w:rsid w:val="006F56AE"/>
    <w:rsid w:val="006F6668"/>
    <w:rsid w:val="00700186"/>
    <w:rsid w:val="00702D49"/>
    <w:rsid w:val="007033C1"/>
    <w:rsid w:val="007041D4"/>
    <w:rsid w:val="00704A21"/>
    <w:rsid w:val="00704E63"/>
    <w:rsid w:val="0070646B"/>
    <w:rsid w:val="00710FE8"/>
    <w:rsid w:val="00711097"/>
    <w:rsid w:val="0071157A"/>
    <w:rsid w:val="00712555"/>
    <w:rsid w:val="00712AC2"/>
    <w:rsid w:val="00713B22"/>
    <w:rsid w:val="00715AFE"/>
    <w:rsid w:val="00720176"/>
    <w:rsid w:val="007215FE"/>
    <w:rsid w:val="00722229"/>
    <w:rsid w:val="00722727"/>
    <w:rsid w:val="00723177"/>
    <w:rsid w:val="00725F80"/>
    <w:rsid w:val="007279AC"/>
    <w:rsid w:val="00727C1E"/>
    <w:rsid w:val="007314A7"/>
    <w:rsid w:val="007329B0"/>
    <w:rsid w:val="0073302B"/>
    <w:rsid w:val="007338C3"/>
    <w:rsid w:val="007339B0"/>
    <w:rsid w:val="0073431D"/>
    <w:rsid w:val="0073609F"/>
    <w:rsid w:val="00736380"/>
    <w:rsid w:val="00737559"/>
    <w:rsid w:val="0074015A"/>
    <w:rsid w:val="00740926"/>
    <w:rsid w:val="00740E35"/>
    <w:rsid w:val="00740ECC"/>
    <w:rsid w:val="00741187"/>
    <w:rsid w:val="007428EA"/>
    <w:rsid w:val="00743747"/>
    <w:rsid w:val="00744542"/>
    <w:rsid w:val="00744707"/>
    <w:rsid w:val="00744EEC"/>
    <w:rsid w:val="00744F5A"/>
    <w:rsid w:val="0074577E"/>
    <w:rsid w:val="00750F62"/>
    <w:rsid w:val="00751D28"/>
    <w:rsid w:val="00753075"/>
    <w:rsid w:val="007531CF"/>
    <w:rsid w:val="00754649"/>
    <w:rsid w:val="00755538"/>
    <w:rsid w:val="00755A47"/>
    <w:rsid w:val="00755EDF"/>
    <w:rsid w:val="007602AE"/>
    <w:rsid w:val="00762643"/>
    <w:rsid w:val="00763228"/>
    <w:rsid w:val="00763BFB"/>
    <w:rsid w:val="007644DE"/>
    <w:rsid w:val="0076592F"/>
    <w:rsid w:val="00766CCD"/>
    <w:rsid w:val="00767D60"/>
    <w:rsid w:val="00770342"/>
    <w:rsid w:val="00771730"/>
    <w:rsid w:val="0077340D"/>
    <w:rsid w:val="00773C0C"/>
    <w:rsid w:val="00773C45"/>
    <w:rsid w:val="00774085"/>
    <w:rsid w:val="00775B54"/>
    <w:rsid w:val="00775E94"/>
    <w:rsid w:val="007771C1"/>
    <w:rsid w:val="007778A6"/>
    <w:rsid w:val="00777A9B"/>
    <w:rsid w:val="00777BBC"/>
    <w:rsid w:val="00777DAE"/>
    <w:rsid w:val="00777E6C"/>
    <w:rsid w:val="00780B6E"/>
    <w:rsid w:val="0078108A"/>
    <w:rsid w:val="00781B2C"/>
    <w:rsid w:val="007826AB"/>
    <w:rsid w:val="00784117"/>
    <w:rsid w:val="00785C70"/>
    <w:rsid w:val="0078602A"/>
    <w:rsid w:val="007860F9"/>
    <w:rsid w:val="00786E66"/>
    <w:rsid w:val="00791181"/>
    <w:rsid w:val="00791352"/>
    <w:rsid w:val="00791693"/>
    <w:rsid w:val="00792949"/>
    <w:rsid w:val="00796B70"/>
    <w:rsid w:val="00796EF7"/>
    <w:rsid w:val="007A0DA1"/>
    <w:rsid w:val="007A488E"/>
    <w:rsid w:val="007A723E"/>
    <w:rsid w:val="007B0E4F"/>
    <w:rsid w:val="007B19E9"/>
    <w:rsid w:val="007B1F25"/>
    <w:rsid w:val="007B2CD3"/>
    <w:rsid w:val="007B2D72"/>
    <w:rsid w:val="007B2E9F"/>
    <w:rsid w:val="007B40A9"/>
    <w:rsid w:val="007B54D9"/>
    <w:rsid w:val="007B55E9"/>
    <w:rsid w:val="007B68B1"/>
    <w:rsid w:val="007B6B88"/>
    <w:rsid w:val="007C06B4"/>
    <w:rsid w:val="007C136B"/>
    <w:rsid w:val="007C4780"/>
    <w:rsid w:val="007C5D63"/>
    <w:rsid w:val="007C6033"/>
    <w:rsid w:val="007C610E"/>
    <w:rsid w:val="007C6CC8"/>
    <w:rsid w:val="007C7639"/>
    <w:rsid w:val="007C7CFA"/>
    <w:rsid w:val="007D02A3"/>
    <w:rsid w:val="007D0F9C"/>
    <w:rsid w:val="007D108E"/>
    <w:rsid w:val="007D12E6"/>
    <w:rsid w:val="007D1EE8"/>
    <w:rsid w:val="007D4983"/>
    <w:rsid w:val="007D5710"/>
    <w:rsid w:val="007D5A92"/>
    <w:rsid w:val="007D7B79"/>
    <w:rsid w:val="007D7CB6"/>
    <w:rsid w:val="007E0CEA"/>
    <w:rsid w:val="007E106C"/>
    <w:rsid w:val="007E3046"/>
    <w:rsid w:val="007E4916"/>
    <w:rsid w:val="007E56A8"/>
    <w:rsid w:val="007E56B8"/>
    <w:rsid w:val="007E791F"/>
    <w:rsid w:val="007F0E1E"/>
    <w:rsid w:val="007F1890"/>
    <w:rsid w:val="007F28B6"/>
    <w:rsid w:val="007F5E10"/>
    <w:rsid w:val="007F62EA"/>
    <w:rsid w:val="007F798B"/>
    <w:rsid w:val="007F7C99"/>
    <w:rsid w:val="0080168B"/>
    <w:rsid w:val="0080184F"/>
    <w:rsid w:val="00801F03"/>
    <w:rsid w:val="0080273D"/>
    <w:rsid w:val="00803723"/>
    <w:rsid w:val="008041B2"/>
    <w:rsid w:val="00804E54"/>
    <w:rsid w:val="008056C8"/>
    <w:rsid w:val="00806C5F"/>
    <w:rsid w:val="008071E7"/>
    <w:rsid w:val="00807D4E"/>
    <w:rsid w:val="00807E59"/>
    <w:rsid w:val="00811207"/>
    <w:rsid w:val="0081359C"/>
    <w:rsid w:val="0081454F"/>
    <w:rsid w:val="00814B2E"/>
    <w:rsid w:val="00814B66"/>
    <w:rsid w:val="0081529A"/>
    <w:rsid w:val="00816505"/>
    <w:rsid w:val="008202DC"/>
    <w:rsid w:val="00820C50"/>
    <w:rsid w:val="00820C8C"/>
    <w:rsid w:val="008215E2"/>
    <w:rsid w:val="0082236B"/>
    <w:rsid w:val="00822512"/>
    <w:rsid w:val="00823592"/>
    <w:rsid w:val="00823970"/>
    <w:rsid w:val="0082598F"/>
    <w:rsid w:val="00825ED2"/>
    <w:rsid w:val="008266AE"/>
    <w:rsid w:val="0082795C"/>
    <w:rsid w:val="00827ABC"/>
    <w:rsid w:val="00832374"/>
    <w:rsid w:val="008333C5"/>
    <w:rsid w:val="008340F3"/>
    <w:rsid w:val="00834F68"/>
    <w:rsid w:val="008357E1"/>
    <w:rsid w:val="008358C3"/>
    <w:rsid w:val="00836673"/>
    <w:rsid w:val="00836A22"/>
    <w:rsid w:val="00836F63"/>
    <w:rsid w:val="008378BE"/>
    <w:rsid w:val="00840386"/>
    <w:rsid w:val="00840E88"/>
    <w:rsid w:val="00841569"/>
    <w:rsid w:val="008419F9"/>
    <w:rsid w:val="00841B85"/>
    <w:rsid w:val="00843061"/>
    <w:rsid w:val="00843B71"/>
    <w:rsid w:val="00843E19"/>
    <w:rsid w:val="00844059"/>
    <w:rsid w:val="00844166"/>
    <w:rsid w:val="008448CC"/>
    <w:rsid w:val="008458F7"/>
    <w:rsid w:val="0084594E"/>
    <w:rsid w:val="00847135"/>
    <w:rsid w:val="00847492"/>
    <w:rsid w:val="008479D9"/>
    <w:rsid w:val="00850BE7"/>
    <w:rsid w:val="00853968"/>
    <w:rsid w:val="008553A6"/>
    <w:rsid w:val="00855D7A"/>
    <w:rsid w:val="008561E2"/>
    <w:rsid w:val="00856F93"/>
    <w:rsid w:val="00856FB0"/>
    <w:rsid w:val="00857171"/>
    <w:rsid w:val="0085736A"/>
    <w:rsid w:val="00857B52"/>
    <w:rsid w:val="00860456"/>
    <w:rsid w:val="00860512"/>
    <w:rsid w:val="00860A90"/>
    <w:rsid w:val="00861D60"/>
    <w:rsid w:val="0086225D"/>
    <w:rsid w:val="00862B4D"/>
    <w:rsid w:val="00863A08"/>
    <w:rsid w:val="0086416E"/>
    <w:rsid w:val="00864E84"/>
    <w:rsid w:val="00865425"/>
    <w:rsid w:val="00865590"/>
    <w:rsid w:val="0086760C"/>
    <w:rsid w:val="00867DC9"/>
    <w:rsid w:val="00870761"/>
    <w:rsid w:val="00872F2F"/>
    <w:rsid w:val="00873416"/>
    <w:rsid w:val="0087462F"/>
    <w:rsid w:val="0087489E"/>
    <w:rsid w:val="00874A07"/>
    <w:rsid w:val="008773E3"/>
    <w:rsid w:val="0087757C"/>
    <w:rsid w:val="0088074C"/>
    <w:rsid w:val="00883C72"/>
    <w:rsid w:val="00885164"/>
    <w:rsid w:val="00885952"/>
    <w:rsid w:val="00887E30"/>
    <w:rsid w:val="00890EB9"/>
    <w:rsid w:val="00890FCC"/>
    <w:rsid w:val="00891209"/>
    <w:rsid w:val="0089273F"/>
    <w:rsid w:val="00894A86"/>
    <w:rsid w:val="00894B51"/>
    <w:rsid w:val="00895A68"/>
    <w:rsid w:val="008A0232"/>
    <w:rsid w:val="008A58DB"/>
    <w:rsid w:val="008A5D62"/>
    <w:rsid w:val="008A5E57"/>
    <w:rsid w:val="008A618D"/>
    <w:rsid w:val="008A69F1"/>
    <w:rsid w:val="008B0F4D"/>
    <w:rsid w:val="008B3666"/>
    <w:rsid w:val="008B382D"/>
    <w:rsid w:val="008B43B5"/>
    <w:rsid w:val="008B49B0"/>
    <w:rsid w:val="008C0413"/>
    <w:rsid w:val="008C163F"/>
    <w:rsid w:val="008C166B"/>
    <w:rsid w:val="008C1BED"/>
    <w:rsid w:val="008C2A5D"/>
    <w:rsid w:val="008C3442"/>
    <w:rsid w:val="008C3932"/>
    <w:rsid w:val="008C409A"/>
    <w:rsid w:val="008C60E9"/>
    <w:rsid w:val="008D0537"/>
    <w:rsid w:val="008D170D"/>
    <w:rsid w:val="008D3F4C"/>
    <w:rsid w:val="008D455D"/>
    <w:rsid w:val="008D61D2"/>
    <w:rsid w:val="008D6A48"/>
    <w:rsid w:val="008D6B82"/>
    <w:rsid w:val="008D6D8B"/>
    <w:rsid w:val="008D743B"/>
    <w:rsid w:val="008D77BB"/>
    <w:rsid w:val="008E08F7"/>
    <w:rsid w:val="008E0C61"/>
    <w:rsid w:val="008E177D"/>
    <w:rsid w:val="008E1BCA"/>
    <w:rsid w:val="008E2E10"/>
    <w:rsid w:val="008E45FE"/>
    <w:rsid w:val="008E49F4"/>
    <w:rsid w:val="008E52CB"/>
    <w:rsid w:val="008E5342"/>
    <w:rsid w:val="008E6B58"/>
    <w:rsid w:val="008E6CD8"/>
    <w:rsid w:val="008E6DBE"/>
    <w:rsid w:val="008F025D"/>
    <w:rsid w:val="008F10CD"/>
    <w:rsid w:val="008F12A7"/>
    <w:rsid w:val="008F15B0"/>
    <w:rsid w:val="008F2A8C"/>
    <w:rsid w:val="008F2E48"/>
    <w:rsid w:val="008F3200"/>
    <w:rsid w:val="008F3438"/>
    <w:rsid w:val="008F3CAD"/>
    <w:rsid w:val="008F57CE"/>
    <w:rsid w:val="008F5A4B"/>
    <w:rsid w:val="008F5B9B"/>
    <w:rsid w:val="008F6A07"/>
    <w:rsid w:val="008F6EED"/>
    <w:rsid w:val="008F7610"/>
    <w:rsid w:val="00900D5A"/>
    <w:rsid w:val="00900F9B"/>
    <w:rsid w:val="00901327"/>
    <w:rsid w:val="00902935"/>
    <w:rsid w:val="00903038"/>
    <w:rsid w:val="00903064"/>
    <w:rsid w:val="0090374A"/>
    <w:rsid w:val="00903ADC"/>
    <w:rsid w:val="00903CBC"/>
    <w:rsid w:val="00904188"/>
    <w:rsid w:val="00904537"/>
    <w:rsid w:val="0090483A"/>
    <w:rsid w:val="00904E42"/>
    <w:rsid w:val="0090553F"/>
    <w:rsid w:val="009064EB"/>
    <w:rsid w:val="00910108"/>
    <w:rsid w:val="00912FD0"/>
    <w:rsid w:val="009131D2"/>
    <w:rsid w:val="00913C79"/>
    <w:rsid w:val="009140D0"/>
    <w:rsid w:val="00914780"/>
    <w:rsid w:val="00914AE0"/>
    <w:rsid w:val="00914CFA"/>
    <w:rsid w:val="00915C58"/>
    <w:rsid w:val="00916CF9"/>
    <w:rsid w:val="00917279"/>
    <w:rsid w:val="00917AFE"/>
    <w:rsid w:val="009204A6"/>
    <w:rsid w:val="00920922"/>
    <w:rsid w:val="00920C2C"/>
    <w:rsid w:val="009232C9"/>
    <w:rsid w:val="00924197"/>
    <w:rsid w:val="009241CD"/>
    <w:rsid w:val="00924E56"/>
    <w:rsid w:val="00925BE8"/>
    <w:rsid w:val="0092780E"/>
    <w:rsid w:val="009304BE"/>
    <w:rsid w:val="00930751"/>
    <w:rsid w:val="0093302B"/>
    <w:rsid w:val="00934F9C"/>
    <w:rsid w:val="0093550D"/>
    <w:rsid w:val="00935E87"/>
    <w:rsid w:val="00936088"/>
    <w:rsid w:val="009367DB"/>
    <w:rsid w:val="0093767B"/>
    <w:rsid w:val="00937794"/>
    <w:rsid w:val="00940B4B"/>
    <w:rsid w:val="00945A15"/>
    <w:rsid w:val="0094697D"/>
    <w:rsid w:val="00947318"/>
    <w:rsid w:val="00947599"/>
    <w:rsid w:val="00950F0C"/>
    <w:rsid w:val="0095102F"/>
    <w:rsid w:val="009516BD"/>
    <w:rsid w:val="00952D67"/>
    <w:rsid w:val="0095462C"/>
    <w:rsid w:val="009546B0"/>
    <w:rsid w:val="00954DF6"/>
    <w:rsid w:val="00955400"/>
    <w:rsid w:val="00955C2B"/>
    <w:rsid w:val="00960536"/>
    <w:rsid w:val="00961C07"/>
    <w:rsid w:val="00962FA0"/>
    <w:rsid w:val="009633FB"/>
    <w:rsid w:val="00963A6D"/>
    <w:rsid w:val="009708A2"/>
    <w:rsid w:val="00971B09"/>
    <w:rsid w:val="00972BAE"/>
    <w:rsid w:val="00974B38"/>
    <w:rsid w:val="00974CD3"/>
    <w:rsid w:val="00975596"/>
    <w:rsid w:val="00975E6C"/>
    <w:rsid w:val="009776FC"/>
    <w:rsid w:val="00982D8B"/>
    <w:rsid w:val="00982E8A"/>
    <w:rsid w:val="00983910"/>
    <w:rsid w:val="00984413"/>
    <w:rsid w:val="009849B6"/>
    <w:rsid w:val="009853B6"/>
    <w:rsid w:val="00986D3D"/>
    <w:rsid w:val="00986DAA"/>
    <w:rsid w:val="009873A2"/>
    <w:rsid w:val="00987779"/>
    <w:rsid w:val="0099099B"/>
    <w:rsid w:val="00991F00"/>
    <w:rsid w:val="009935B1"/>
    <w:rsid w:val="00994314"/>
    <w:rsid w:val="0099451D"/>
    <w:rsid w:val="00996282"/>
    <w:rsid w:val="009A019A"/>
    <w:rsid w:val="009A07BB"/>
    <w:rsid w:val="009A1620"/>
    <w:rsid w:val="009A169D"/>
    <w:rsid w:val="009A2620"/>
    <w:rsid w:val="009A2BAD"/>
    <w:rsid w:val="009A2DBD"/>
    <w:rsid w:val="009A4147"/>
    <w:rsid w:val="009A4FBA"/>
    <w:rsid w:val="009A5E57"/>
    <w:rsid w:val="009A665C"/>
    <w:rsid w:val="009A7175"/>
    <w:rsid w:val="009A74D5"/>
    <w:rsid w:val="009B022D"/>
    <w:rsid w:val="009B034E"/>
    <w:rsid w:val="009B03DE"/>
    <w:rsid w:val="009B2035"/>
    <w:rsid w:val="009B26E4"/>
    <w:rsid w:val="009B2914"/>
    <w:rsid w:val="009B43BB"/>
    <w:rsid w:val="009B5F8E"/>
    <w:rsid w:val="009B710B"/>
    <w:rsid w:val="009C0495"/>
    <w:rsid w:val="009C0727"/>
    <w:rsid w:val="009C13D5"/>
    <w:rsid w:val="009C5587"/>
    <w:rsid w:val="009C5A3F"/>
    <w:rsid w:val="009C7A70"/>
    <w:rsid w:val="009D14BC"/>
    <w:rsid w:val="009D278D"/>
    <w:rsid w:val="009D2A28"/>
    <w:rsid w:val="009D2CF4"/>
    <w:rsid w:val="009D30A1"/>
    <w:rsid w:val="009D3818"/>
    <w:rsid w:val="009D41CC"/>
    <w:rsid w:val="009D66BA"/>
    <w:rsid w:val="009D70D7"/>
    <w:rsid w:val="009E0EA6"/>
    <w:rsid w:val="009E1E8A"/>
    <w:rsid w:val="009E3EA3"/>
    <w:rsid w:val="009E449B"/>
    <w:rsid w:val="009E4AD4"/>
    <w:rsid w:val="009E4C98"/>
    <w:rsid w:val="009E651C"/>
    <w:rsid w:val="009E7DBD"/>
    <w:rsid w:val="009F02A9"/>
    <w:rsid w:val="009F152E"/>
    <w:rsid w:val="009F1C56"/>
    <w:rsid w:val="009F2A75"/>
    <w:rsid w:val="009F3D03"/>
    <w:rsid w:val="009F41D4"/>
    <w:rsid w:val="009F4900"/>
    <w:rsid w:val="009F4E87"/>
    <w:rsid w:val="009F71C4"/>
    <w:rsid w:val="009F7828"/>
    <w:rsid w:val="00A0050C"/>
    <w:rsid w:val="00A0110C"/>
    <w:rsid w:val="00A03435"/>
    <w:rsid w:val="00A10122"/>
    <w:rsid w:val="00A1185D"/>
    <w:rsid w:val="00A11A08"/>
    <w:rsid w:val="00A12436"/>
    <w:rsid w:val="00A13286"/>
    <w:rsid w:val="00A1405E"/>
    <w:rsid w:val="00A1447D"/>
    <w:rsid w:val="00A150D8"/>
    <w:rsid w:val="00A157D0"/>
    <w:rsid w:val="00A15E51"/>
    <w:rsid w:val="00A168D9"/>
    <w:rsid w:val="00A16F53"/>
    <w:rsid w:val="00A17178"/>
    <w:rsid w:val="00A17C4E"/>
    <w:rsid w:val="00A22D29"/>
    <w:rsid w:val="00A25586"/>
    <w:rsid w:val="00A25815"/>
    <w:rsid w:val="00A275EF"/>
    <w:rsid w:val="00A2789E"/>
    <w:rsid w:val="00A3036D"/>
    <w:rsid w:val="00A30DE5"/>
    <w:rsid w:val="00A31BCD"/>
    <w:rsid w:val="00A32693"/>
    <w:rsid w:val="00A33CA7"/>
    <w:rsid w:val="00A35C04"/>
    <w:rsid w:val="00A4034D"/>
    <w:rsid w:val="00A40B03"/>
    <w:rsid w:val="00A4100C"/>
    <w:rsid w:val="00A41F00"/>
    <w:rsid w:val="00A41FD3"/>
    <w:rsid w:val="00A4320B"/>
    <w:rsid w:val="00A4354B"/>
    <w:rsid w:val="00A46DA8"/>
    <w:rsid w:val="00A47527"/>
    <w:rsid w:val="00A47F4B"/>
    <w:rsid w:val="00A50379"/>
    <w:rsid w:val="00A512CB"/>
    <w:rsid w:val="00A51344"/>
    <w:rsid w:val="00A5255F"/>
    <w:rsid w:val="00A5266B"/>
    <w:rsid w:val="00A5364F"/>
    <w:rsid w:val="00A546BB"/>
    <w:rsid w:val="00A550FF"/>
    <w:rsid w:val="00A5590B"/>
    <w:rsid w:val="00A566E3"/>
    <w:rsid w:val="00A56E39"/>
    <w:rsid w:val="00A616DE"/>
    <w:rsid w:val="00A64E33"/>
    <w:rsid w:val="00A64E87"/>
    <w:rsid w:val="00A6590A"/>
    <w:rsid w:val="00A6636A"/>
    <w:rsid w:val="00A66CB6"/>
    <w:rsid w:val="00A67FF4"/>
    <w:rsid w:val="00A7005C"/>
    <w:rsid w:val="00A7008F"/>
    <w:rsid w:val="00A701AF"/>
    <w:rsid w:val="00A701CF"/>
    <w:rsid w:val="00A70460"/>
    <w:rsid w:val="00A7103B"/>
    <w:rsid w:val="00A731CC"/>
    <w:rsid w:val="00A74046"/>
    <w:rsid w:val="00A74C22"/>
    <w:rsid w:val="00A756C4"/>
    <w:rsid w:val="00A80E5A"/>
    <w:rsid w:val="00A8132F"/>
    <w:rsid w:val="00A814D0"/>
    <w:rsid w:val="00A81B15"/>
    <w:rsid w:val="00A829DD"/>
    <w:rsid w:val="00A83745"/>
    <w:rsid w:val="00A8405D"/>
    <w:rsid w:val="00A84B3B"/>
    <w:rsid w:val="00A85DBC"/>
    <w:rsid w:val="00A870D0"/>
    <w:rsid w:val="00A90129"/>
    <w:rsid w:val="00A911E9"/>
    <w:rsid w:val="00A9250F"/>
    <w:rsid w:val="00A92763"/>
    <w:rsid w:val="00A93808"/>
    <w:rsid w:val="00A93C1A"/>
    <w:rsid w:val="00A94A47"/>
    <w:rsid w:val="00A9525F"/>
    <w:rsid w:val="00A95F63"/>
    <w:rsid w:val="00AA0177"/>
    <w:rsid w:val="00AA127E"/>
    <w:rsid w:val="00AA362E"/>
    <w:rsid w:val="00AA4F2D"/>
    <w:rsid w:val="00AA596D"/>
    <w:rsid w:val="00AA63BB"/>
    <w:rsid w:val="00AA6E73"/>
    <w:rsid w:val="00AA7450"/>
    <w:rsid w:val="00AA7A65"/>
    <w:rsid w:val="00AA7CDA"/>
    <w:rsid w:val="00AB1739"/>
    <w:rsid w:val="00AB1F6F"/>
    <w:rsid w:val="00AB1F76"/>
    <w:rsid w:val="00AB297C"/>
    <w:rsid w:val="00AB6DCA"/>
    <w:rsid w:val="00AB6E69"/>
    <w:rsid w:val="00AB71FD"/>
    <w:rsid w:val="00AB7939"/>
    <w:rsid w:val="00AC0674"/>
    <w:rsid w:val="00AC0B1D"/>
    <w:rsid w:val="00AC1DE0"/>
    <w:rsid w:val="00AC3888"/>
    <w:rsid w:val="00AC40A7"/>
    <w:rsid w:val="00AC4BEF"/>
    <w:rsid w:val="00AC5074"/>
    <w:rsid w:val="00AC5DE4"/>
    <w:rsid w:val="00AC66AC"/>
    <w:rsid w:val="00AC70B9"/>
    <w:rsid w:val="00AD3759"/>
    <w:rsid w:val="00AD7469"/>
    <w:rsid w:val="00AD7B41"/>
    <w:rsid w:val="00AD7D79"/>
    <w:rsid w:val="00AE0755"/>
    <w:rsid w:val="00AE2ADB"/>
    <w:rsid w:val="00AE3123"/>
    <w:rsid w:val="00AE5070"/>
    <w:rsid w:val="00AE5297"/>
    <w:rsid w:val="00AE578C"/>
    <w:rsid w:val="00AE5981"/>
    <w:rsid w:val="00AE78E1"/>
    <w:rsid w:val="00AE7D0F"/>
    <w:rsid w:val="00AF15BD"/>
    <w:rsid w:val="00AF2EAD"/>
    <w:rsid w:val="00AF2EBF"/>
    <w:rsid w:val="00AF3378"/>
    <w:rsid w:val="00AF3EEF"/>
    <w:rsid w:val="00AF5046"/>
    <w:rsid w:val="00AF574E"/>
    <w:rsid w:val="00AF6E62"/>
    <w:rsid w:val="00AF7262"/>
    <w:rsid w:val="00B00D72"/>
    <w:rsid w:val="00B00D97"/>
    <w:rsid w:val="00B039E3"/>
    <w:rsid w:val="00B0477E"/>
    <w:rsid w:val="00B04CE4"/>
    <w:rsid w:val="00B06B6F"/>
    <w:rsid w:val="00B06D1E"/>
    <w:rsid w:val="00B06E40"/>
    <w:rsid w:val="00B07FAB"/>
    <w:rsid w:val="00B10251"/>
    <w:rsid w:val="00B14E98"/>
    <w:rsid w:val="00B153D4"/>
    <w:rsid w:val="00B1773B"/>
    <w:rsid w:val="00B177E5"/>
    <w:rsid w:val="00B17DAA"/>
    <w:rsid w:val="00B20319"/>
    <w:rsid w:val="00B20584"/>
    <w:rsid w:val="00B20E7E"/>
    <w:rsid w:val="00B21FA9"/>
    <w:rsid w:val="00B23CBD"/>
    <w:rsid w:val="00B25052"/>
    <w:rsid w:val="00B253A6"/>
    <w:rsid w:val="00B25568"/>
    <w:rsid w:val="00B256FD"/>
    <w:rsid w:val="00B26479"/>
    <w:rsid w:val="00B26901"/>
    <w:rsid w:val="00B27F9F"/>
    <w:rsid w:val="00B300C3"/>
    <w:rsid w:val="00B3269E"/>
    <w:rsid w:val="00B33106"/>
    <w:rsid w:val="00B34E41"/>
    <w:rsid w:val="00B363DD"/>
    <w:rsid w:val="00B36628"/>
    <w:rsid w:val="00B37122"/>
    <w:rsid w:val="00B379D8"/>
    <w:rsid w:val="00B40000"/>
    <w:rsid w:val="00B40663"/>
    <w:rsid w:val="00B41567"/>
    <w:rsid w:val="00B41AF8"/>
    <w:rsid w:val="00B42141"/>
    <w:rsid w:val="00B42727"/>
    <w:rsid w:val="00B42F15"/>
    <w:rsid w:val="00B457F3"/>
    <w:rsid w:val="00B463A2"/>
    <w:rsid w:val="00B50828"/>
    <w:rsid w:val="00B50BAA"/>
    <w:rsid w:val="00B51542"/>
    <w:rsid w:val="00B52686"/>
    <w:rsid w:val="00B5285F"/>
    <w:rsid w:val="00B531C5"/>
    <w:rsid w:val="00B53DB0"/>
    <w:rsid w:val="00B6046B"/>
    <w:rsid w:val="00B604D4"/>
    <w:rsid w:val="00B609D8"/>
    <w:rsid w:val="00B61C74"/>
    <w:rsid w:val="00B628E1"/>
    <w:rsid w:val="00B62CD7"/>
    <w:rsid w:val="00B62D21"/>
    <w:rsid w:val="00B6460F"/>
    <w:rsid w:val="00B64E5F"/>
    <w:rsid w:val="00B65B4D"/>
    <w:rsid w:val="00B664FC"/>
    <w:rsid w:val="00B66CF3"/>
    <w:rsid w:val="00B66F75"/>
    <w:rsid w:val="00B67E76"/>
    <w:rsid w:val="00B7138C"/>
    <w:rsid w:val="00B72376"/>
    <w:rsid w:val="00B75BCF"/>
    <w:rsid w:val="00B76818"/>
    <w:rsid w:val="00B80374"/>
    <w:rsid w:val="00B809A2"/>
    <w:rsid w:val="00B80F90"/>
    <w:rsid w:val="00B8139B"/>
    <w:rsid w:val="00B82065"/>
    <w:rsid w:val="00B83408"/>
    <w:rsid w:val="00B8443C"/>
    <w:rsid w:val="00B8446C"/>
    <w:rsid w:val="00B85AAD"/>
    <w:rsid w:val="00B85EF6"/>
    <w:rsid w:val="00B87903"/>
    <w:rsid w:val="00B87B6C"/>
    <w:rsid w:val="00B910FF"/>
    <w:rsid w:val="00B91168"/>
    <w:rsid w:val="00B91AEC"/>
    <w:rsid w:val="00B95577"/>
    <w:rsid w:val="00B95FA4"/>
    <w:rsid w:val="00B96889"/>
    <w:rsid w:val="00B96897"/>
    <w:rsid w:val="00BA0737"/>
    <w:rsid w:val="00BA1A94"/>
    <w:rsid w:val="00BA2420"/>
    <w:rsid w:val="00BA2BA2"/>
    <w:rsid w:val="00BA2BF0"/>
    <w:rsid w:val="00BA34AB"/>
    <w:rsid w:val="00BA39EF"/>
    <w:rsid w:val="00BA41ED"/>
    <w:rsid w:val="00BA670C"/>
    <w:rsid w:val="00BA6C82"/>
    <w:rsid w:val="00BA7AF0"/>
    <w:rsid w:val="00BB06BA"/>
    <w:rsid w:val="00BB142C"/>
    <w:rsid w:val="00BB3DBB"/>
    <w:rsid w:val="00BB5041"/>
    <w:rsid w:val="00BB5B8E"/>
    <w:rsid w:val="00BB6469"/>
    <w:rsid w:val="00BB772A"/>
    <w:rsid w:val="00BB7FA8"/>
    <w:rsid w:val="00BC0721"/>
    <w:rsid w:val="00BC0F87"/>
    <w:rsid w:val="00BC14FA"/>
    <w:rsid w:val="00BC18C1"/>
    <w:rsid w:val="00BC29DA"/>
    <w:rsid w:val="00BC2AC3"/>
    <w:rsid w:val="00BC64AD"/>
    <w:rsid w:val="00BC6CA4"/>
    <w:rsid w:val="00BC7C82"/>
    <w:rsid w:val="00BD2965"/>
    <w:rsid w:val="00BD2C9B"/>
    <w:rsid w:val="00BD2DC3"/>
    <w:rsid w:val="00BD635F"/>
    <w:rsid w:val="00BD6500"/>
    <w:rsid w:val="00BD6697"/>
    <w:rsid w:val="00BD67BA"/>
    <w:rsid w:val="00BD6F7A"/>
    <w:rsid w:val="00BD7234"/>
    <w:rsid w:val="00BD78A8"/>
    <w:rsid w:val="00BD791E"/>
    <w:rsid w:val="00BE0E31"/>
    <w:rsid w:val="00BE1360"/>
    <w:rsid w:val="00BE2152"/>
    <w:rsid w:val="00BE21E9"/>
    <w:rsid w:val="00BE2338"/>
    <w:rsid w:val="00BE3E91"/>
    <w:rsid w:val="00BE42B7"/>
    <w:rsid w:val="00BE4D30"/>
    <w:rsid w:val="00BE7DB4"/>
    <w:rsid w:val="00BF092F"/>
    <w:rsid w:val="00BF1F30"/>
    <w:rsid w:val="00BF3A27"/>
    <w:rsid w:val="00BF4356"/>
    <w:rsid w:val="00BF4C33"/>
    <w:rsid w:val="00BF5D84"/>
    <w:rsid w:val="00BF5E69"/>
    <w:rsid w:val="00BF61CA"/>
    <w:rsid w:val="00BF6AA1"/>
    <w:rsid w:val="00BF6C07"/>
    <w:rsid w:val="00BF6F01"/>
    <w:rsid w:val="00BF6F76"/>
    <w:rsid w:val="00C02377"/>
    <w:rsid w:val="00C02E33"/>
    <w:rsid w:val="00C038BD"/>
    <w:rsid w:val="00C05ED7"/>
    <w:rsid w:val="00C06FC1"/>
    <w:rsid w:val="00C10BF4"/>
    <w:rsid w:val="00C10E09"/>
    <w:rsid w:val="00C116E7"/>
    <w:rsid w:val="00C120DC"/>
    <w:rsid w:val="00C12E1C"/>
    <w:rsid w:val="00C130F8"/>
    <w:rsid w:val="00C13326"/>
    <w:rsid w:val="00C15A6B"/>
    <w:rsid w:val="00C16577"/>
    <w:rsid w:val="00C17096"/>
    <w:rsid w:val="00C17165"/>
    <w:rsid w:val="00C17876"/>
    <w:rsid w:val="00C20175"/>
    <w:rsid w:val="00C2366B"/>
    <w:rsid w:val="00C27716"/>
    <w:rsid w:val="00C30821"/>
    <w:rsid w:val="00C308D3"/>
    <w:rsid w:val="00C31006"/>
    <w:rsid w:val="00C31E18"/>
    <w:rsid w:val="00C32236"/>
    <w:rsid w:val="00C3230E"/>
    <w:rsid w:val="00C359F8"/>
    <w:rsid w:val="00C367EE"/>
    <w:rsid w:val="00C3744B"/>
    <w:rsid w:val="00C37886"/>
    <w:rsid w:val="00C37CD2"/>
    <w:rsid w:val="00C41018"/>
    <w:rsid w:val="00C416E5"/>
    <w:rsid w:val="00C41A8F"/>
    <w:rsid w:val="00C434AB"/>
    <w:rsid w:val="00C43AF0"/>
    <w:rsid w:val="00C444BD"/>
    <w:rsid w:val="00C458C4"/>
    <w:rsid w:val="00C47FB1"/>
    <w:rsid w:val="00C50DB6"/>
    <w:rsid w:val="00C51F3E"/>
    <w:rsid w:val="00C528EB"/>
    <w:rsid w:val="00C52BDA"/>
    <w:rsid w:val="00C533C3"/>
    <w:rsid w:val="00C559F4"/>
    <w:rsid w:val="00C55A94"/>
    <w:rsid w:val="00C66897"/>
    <w:rsid w:val="00C67DDB"/>
    <w:rsid w:val="00C70BBA"/>
    <w:rsid w:val="00C7254C"/>
    <w:rsid w:val="00C72575"/>
    <w:rsid w:val="00C73AFE"/>
    <w:rsid w:val="00C73D9F"/>
    <w:rsid w:val="00C773D8"/>
    <w:rsid w:val="00C80D72"/>
    <w:rsid w:val="00C81936"/>
    <w:rsid w:val="00C81DF2"/>
    <w:rsid w:val="00C81E2C"/>
    <w:rsid w:val="00C81F3B"/>
    <w:rsid w:val="00C820F8"/>
    <w:rsid w:val="00C83C97"/>
    <w:rsid w:val="00C8492D"/>
    <w:rsid w:val="00C8645B"/>
    <w:rsid w:val="00C87B19"/>
    <w:rsid w:val="00C92E43"/>
    <w:rsid w:val="00C942F0"/>
    <w:rsid w:val="00C950AA"/>
    <w:rsid w:val="00C96BA3"/>
    <w:rsid w:val="00C973E3"/>
    <w:rsid w:val="00CA33CA"/>
    <w:rsid w:val="00CA4AAD"/>
    <w:rsid w:val="00CA4F52"/>
    <w:rsid w:val="00CA5E21"/>
    <w:rsid w:val="00CA6F40"/>
    <w:rsid w:val="00CA7457"/>
    <w:rsid w:val="00CB044C"/>
    <w:rsid w:val="00CB0504"/>
    <w:rsid w:val="00CB1616"/>
    <w:rsid w:val="00CB1957"/>
    <w:rsid w:val="00CB2C48"/>
    <w:rsid w:val="00CB4372"/>
    <w:rsid w:val="00CB4C18"/>
    <w:rsid w:val="00CB5A7C"/>
    <w:rsid w:val="00CB655D"/>
    <w:rsid w:val="00CC05FC"/>
    <w:rsid w:val="00CC2570"/>
    <w:rsid w:val="00CC34AB"/>
    <w:rsid w:val="00CC422E"/>
    <w:rsid w:val="00CC6210"/>
    <w:rsid w:val="00CC6854"/>
    <w:rsid w:val="00CD1ED5"/>
    <w:rsid w:val="00CD230D"/>
    <w:rsid w:val="00CD26E8"/>
    <w:rsid w:val="00CD2C33"/>
    <w:rsid w:val="00CD2E36"/>
    <w:rsid w:val="00CD317B"/>
    <w:rsid w:val="00CD33AC"/>
    <w:rsid w:val="00CD6646"/>
    <w:rsid w:val="00CE05F2"/>
    <w:rsid w:val="00CE0679"/>
    <w:rsid w:val="00CE09A3"/>
    <w:rsid w:val="00CE2F70"/>
    <w:rsid w:val="00CE3C2C"/>
    <w:rsid w:val="00CE4360"/>
    <w:rsid w:val="00CE5CB0"/>
    <w:rsid w:val="00CE7B9B"/>
    <w:rsid w:val="00CF1B3B"/>
    <w:rsid w:val="00CF31E6"/>
    <w:rsid w:val="00CF35F4"/>
    <w:rsid w:val="00CF3B23"/>
    <w:rsid w:val="00CF555E"/>
    <w:rsid w:val="00CF620E"/>
    <w:rsid w:val="00CF675E"/>
    <w:rsid w:val="00CF68F9"/>
    <w:rsid w:val="00CF6B5E"/>
    <w:rsid w:val="00CF74E1"/>
    <w:rsid w:val="00D01295"/>
    <w:rsid w:val="00D0197A"/>
    <w:rsid w:val="00D0231F"/>
    <w:rsid w:val="00D03276"/>
    <w:rsid w:val="00D03446"/>
    <w:rsid w:val="00D04549"/>
    <w:rsid w:val="00D05D62"/>
    <w:rsid w:val="00D05D8B"/>
    <w:rsid w:val="00D07663"/>
    <w:rsid w:val="00D07AD9"/>
    <w:rsid w:val="00D10B52"/>
    <w:rsid w:val="00D11460"/>
    <w:rsid w:val="00D11E51"/>
    <w:rsid w:val="00D135C7"/>
    <w:rsid w:val="00D15402"/>
    <w:rsid w:val="00D1584D"/>
    <w:rsid w:val="00D174AE"/>
    <w:rsid w:val="00D1774E"/>
    <w:rsid w:val="00D21EC1"/>
    <w:rsid w:val="00D22A76"/>
    <w:rsid w:val="00D22E24"/>
    <w:rsid w:val="00D23219"/>
    <w:rsid w:val="00D232A9"/>
    <w:rsid w:val="00D23701"/>
    <w:rsid w:val="00D23A8C"/>
    <w:rsid w:val="00D24D0D"/>
    <w:rsid w:val="00D24EC1"/>
    <w:rsid w:val="00D26B9D"/>
    <w:rsid w:val="00D26DD0"/>
    <w:rsid w:val="00D31C83"/>
    <w:rsid w:val="00D3241E"/>
    <w:rsid w:val="00D34DEE"/>
    <w:rsid w:val="00D3628C"/>
    <w:rsid w:val="00D408C5"/>
    <w:rsid w:val="00D41014"/>
    <w:rsid w:val="00D4313E"/>
    <w:rsid w:val="00D43C41"/>
    <w:rsid w:val="00D43D10"/>
    <w:rsid w:val="00D449ED"/>
    <w:rsid w:val="00D44B8C"/>
    <w:rsid w:val="00D45054"/>
    <w:rsid w:val="00D45A94"/>
    <w:rsid w:val="00D45FD5"/>
    <w:rsid w:val="00D46AF6"/>
    <w:rsid w:val="00D47D83"/>
    <w:rsid w:val="00D5065F"/>
    <w:rsid w:val="00D50D53"/>
    <w:rsid w:val="00D520E4"/>
    <w:rsid w:val="00D52A8E"/>
    <w:rsid w:val="00D55E22"/>
    <w:rsid w:val="00D56192"/>
    <w:rsid w:val="00D56249"/>
    <w:rsid w:val="00D56306"/>
    <w:rsid w:val="00D56EE9"/>
    <w:rsid w:val="00D57124"/>
    <w:rsid w:val="00D57DFA"/>
    <w:rsid w:val="00D57E89"/>
    <w:rsid w:val="00D60F93"/>
    <w:rsid w:val="00D61388"/>
    <w:rsid w:val="00D6258D"/>
    <w:rsid w:val="00D63D6E"/>
    <w:rsid w:val="00D64952"/>
    <w:rsid w:val="00D64E04"/>
    <w:rsid w:val="00D650CB"/>
    <w:rsid w:val="00D6527F"/>
    <w:rsid w:val="00D658E3"/>
    <w:rsid w:val="00D66994"/>
    <w:rsid w:val="00D676B6"/>
    <w:rsid w:val="00D71C66"/>
    <w:rsid w:val="00D71C68"/>
    <w:rsid w:val="00D7200D"/>
    <w:rsid w:val="00D72271"/>
    <w:rsid w:val="00D72624"/>
    <w:rsid w:val="00D73DDE"/>
    <w:rsid w:val="00D73FD9"/>
    <w:rsid w:val="00D752BE"/>
    <w:rsid w:val="00D76922"/>
    <w:rsid w:val="00D775DC"/>
    <w:rsid w:val="00D77604"/>
    <w:rsid w:val="00D8017A"/>
    <w:rsid w:val="00D80465"/>
    <w:rsid w:val="00D80A3C"/>
    <w:rsid w:val="00D8160D"/>
    <w:rsid w:val="00D81829"/>
    <w:rsid w:val="00D81FCB"/>
    <w:rsid w:val="00D836CA"/>
    <w:rsid w:val="00D85C16"/>
    <w:rsid w:val="00D869A4"/>
    <w:rsid w:val="00D86B9F"/>
    <w:rsid w:val="00D86FDF"/>
    <w:rsid w:val="00D86FF5"/>
    <w:rsid w:val="00D87FEA"/>
    <w:rsid w:val="00D907EF"/>
    <w:rsid w:val="00D917EA"/>
    <w:rsid w:val="00D935D4"/>
    <w:rsid w:val="00D938D4"/>
    <w:rsid w:val="00D9503D"/>
    <w:rsid w:val="00D95924"/>
    <w:rsid w:val="00D96227"/>
    <w:rsid w:val="00D976EB"/>
    <w:rsid w:val="00D97964"/>
    <w:rsid w:val="00D979D7"/>
    <w:rsid w:val="00D97A63"/>
    <w:rsid w:val="00D97DA3"/>
    <w:rsid w:val="00DA0175"/>
    <w:rsid w:val="00DA1D01"/>
    <w:rsid w:val="00DA31E0"/>
    <w:rsid w:val="00DA3A69"/>
    <w:rsid w:val="00DA4AD1"/>
    <w:rsid w:val="00DA51CB"/>
    <w:rsid w:val="00DA6B4A"/>
    <w:rsid w:val="00DA7D98"/>
    <w:rsid w:val="00DB0F0F"/>
    <w:rsid w:val="00DB24A2"/>
    <w:rsid w:val="00DB4489"/>
    <w:rsid w:val="00DB44E1"/>
    <w:rsid w:val="00DB662D"/>
    <w:rsid w:val="00DC1A15"/>
    <w:rsid w:val="00DC1D7B"/>
    <w:rsid w:val="00DC349E"/>
    <w:rsid w:val="00DC34E0"/>
    <w:rsid w:val="00DC7159"/>
    <w:rsid w:val="00DC74A5"/>
    <w:rsid w:val="00DD0AE5"/>
    <w:rsid w:val="00DD0C2C"/>
    <w:rsid w:val="00DD0EA7"/>
    <w:rsid w:val="00DD1AA4"/>
    <w:rsid w:val="00DD230C"/>
    <w:rsid w:val="00DD2A36"/>
    <w:rsid w:val="00DD2BD0"/>
    <w:rsid w:val="00DD5D61"/>
    <w:rsid w:val="00DD5DC5"/>
    <w:rsid w:val="00DD69DC"/>
    <w:rsid w:val="00DD6C37"/>
    <w:rsid w:val="00DD78A4"/>
    <w:rsid w:val="00DE0749"/>
    <w:rsid w:val="00DE178B"/>
    <w:rsid w:val="00DE5CC0"/>
    <w:rsid w:val="00DE6765"/>
    <w:rsid w:val="00DE6E75"/>
    <w:rsid w:val="00DE7654"/>
    <w:rsid w:val="00DE7E3A"/>
    <w:rsid w:val="00DF1443"/>
    <w:rsid w:val="00DF1585"/>
    <w:rsid w:val="00DF1AA9"/>
    <w:rsid w:val="00DF2176"/>
    <w:rsid w:val="00DF58BB"/>
    <w:rsid w:val="00DF70BB"/>
    <w:rsid w:val="00DF75BF"/>
    <w:rsid w:val="00E006F3"/>
    <w:rsid w:val="00E00C94"/>
    <w:rsid w:val="00E037B3"/>
    <w:rsid w:val="00E042FA"/>
    <w:rsid w:val="00E04577"/>
    <w:rsid w:val="00E046ED"/>
    <w:rsid w:val="00E049F5"/>
    <w:rsid w:val="00E0546C"/>
    <w:rsid w:val="00E068DB"/>
    <w:rsid w:val="00E0696B"/>
    <w:rsid w:val="00E06FCE"/>
    <w:rsid w:val="00E075E2"/>
    <w:rsid w:val="00E11E28"/>
    <w:rsid w:val="00E12065"/>
    <w:rsid w:val="00E1528F"/>
    <w:rsid w:val="00E16925"/>
    <w:rsid w:val="00E16FF5"/>
    <w:rsid w:val="00E21821"/>
    <w:rsid w:val="00E21991"/>
    <w:rsid w:val="00E22389"/>
    <w:rsid w:val="00E22AB6"/>
    <w:rsid w:val="00E22FB8"/>
    <w:rsid w:val="00E230D0"/>
    <w:rsid w:val="00E231EB"/>
    <w:rsid w:val="00E261EF"/>
    <w:rsid w:val="00E26271"/>
    <w:rsid w:val="00E30D1E"/>
    <w:rsid w:val="00E32650"/>
    <w:rsid w:val="00E34D20"/>
    <w:rsid w:val="00E35051"/>
    <w:rsid w:val="00E35097"/>
    <w:rsid w:val="00E37BDE"/>
    <w:rsid w:val="00E44069"/>
    <w:rsid w:val="00E45F4B"/>
    <w:rsid w:val="00E4690B"/>
    <w:rsid w:val="00E50C66"/>
    <w:rsid w:val="00E51485"/>
    <w:rsid w:val="00E5378E"/>
    <w:rsid w:val="00E55944"/>
    <w:rsid w:val="00E55ABC"/>
    <w:rsid w:val="00E55B66"/>
    <w:rsid w:val="00E55BDB"/>
    <w:rsid w:val="00E56162"/>
    <w:rsid w:val="00E56639"/>
    <w:rsid w:val="00E5700A"/>
    <w:rsid w:val="00E57033"/>
    <w:rsid w:val="00E574D4"/>
    <w:rsid w:val="00E57B74"/>
    <w:rsid w:val="00E618D7"/>
    <w:rsid w:val="00E61A44"/>
    <w:rsid w:val="00E638F7"/>
    <w:rsid w:val="00E667B5"/>
    <w:rsid w:val="00E717A5"/>
    <w:rsid w:val="00E72BBE"/>
    <w:rsid w:val="00E7357D"/>
    <w:rsid w:val="00E74CB9"/>
    <w:rsid w:val="00E74D03"/>
    <w:rsid w:val="00E74D1D"/>
    <w:rsid w:val="00E75102"/>
    <w:rsid w:val="00E75791"/>
    <w:rsid w:val="00E75DE6"/>
    <w:rsid w:val="00E8030D"/>
    <w:rsid w:val="00E822BA"/>
    <w:rsid w:val="00E83437"/>
    <w:rsid w:val="00E83583"/>
    <w:rsid w:val="00E8629F"/>
    <w:rsid w:val="00E870B6"/>
    <w:rsid w:val="00E87634"/>
    <w:rsid w:val="00E8766D"/>
    <w:rsid w:val="00E920D8"/>
    <w:rsid w:val="00E92846"/>
    <w:rsid w:val="00E93697"/>
    <w:rsid w:val="00E94B4C"/>
    <w:rsid w:val="00E95081"/>
    <w:rsid w:val="00EA0F19"/>
    <w:rsid w:val="00EA1AD5"/>
    <w:rsid w:val="00EA1E1D"/>
    <w:rsid w:val="00EA1E26"/>
    <w:rsid w:val="00EA2004"/>
    <w:rsid w:val="00EA271B"/>
    <w:rsid w:val="00EA31C1"/>
    <w:rsid w:val="00EA383B"/>
    <w:rsid w:val="00EA3C24"/>
    <w:rsid w:val="00EA4465"/>
    <w:rsid w:val="00EA46DD"/>
    <w:rsid w:val="00EA497A"/>
    <w:rsid w:val="00EA5388"/>
    <w:rsid w:val="00EA5997"/>
    <w:rsid w:val="00EA5E4B"/>
    <w:rsid w:val="00EA6D91"/>
    <w:rsid w:val="00EB013C"/>
    <w:rsid w:val="00EB04FF"/>
    <w:rsid w:val="00EB0BD0"/>
    <w:rsid w:val="00EB1F08"/>
    <w:rsid w:val="00EB5B01"/>
    <w:rsid w:val="00EC01DE"/>
    <w:rsid w:val="00EC14A9"/>
    <w:rsid w:val="00EC1A19"/>
    <w:rsid w:val="00EC29BD"/>
    <w:rsid w:val="00EC2ADA"/>
    <w:rsid w:val="00EC3891"/>
    <w:rsid w:val="00EC565F"/>
    <w:rsid w:val="00EC6CF4"/>
    <w:rsid w:val="00EC7418"/>
    <w:rsid w:val="00ED066D"/>
    <w:rsid w:val="00ED1FFA"/>
    <w:rsid w:val="00ED23DF"/>
    <w:rsid w:val="00ED3565"/>
    <w:rsid w:val="00ED42D8"/>
    <w:rsid w:val="00ED4B91"/>
    <w:rsid w:val="00ED5501"/>
    <w:rsid w:val="00ED5A57"/>
    <w:rsid w:val="00ED69FB"/>
    <w:rsid w:val="00ED6F5B"/>
    <w:rsid w:val="00ED74E9"/>
    <w:rsid w:val="00ED7FBD"/>
    <w:rsid w:val="00EE013D"/>
    <w:rsid w:val="00EE084A"/>
    <w:rsid w:val="00EE15C1"/>
    <w:rsid w:val="00EE1EE0"/>
    <w:rsid w:val="00EE2168"/>
    <w:rsid w:val="00EE2BDD"/>
    <w:rsid w:val="00EE3E05"/>
    <w:rsid w:val="00EE52FC"/>
    <w:rsid w:val="00EE56F6"/>
    <w:rsid w:val="00EE5B78"/>
    <w:rsid w:val="00EE6FD1"/>
    <w:rsid w:val="00EE78ED"/>
    <w:rsid w:val="00EE793A"/>
    <w:rsid w:val="00EE7947"/>
    <w:rsid w:val="00EE7D27"/>
    <w:rsid w:val="00EF0B1A"/>
    <w:rsid w:val="00EF575B"/>
    <w:rsid w:val="00EF5DA7"/>
    <w:rsid w:val="00EF69DC"/>
    <w:rsid w:val="00F001FA"/>
    <w:rsid w:val="00F01E97"/>
    <w:rsid w:val="00F02B54"/>
    <w:rsid w:val="00F031EF"/>
    <w:rsid w:val="00F03452"/>
    <w:rsid w:val="00F035EB"/>
    <w:rsid w:val="00F04044"/>
    <w:rsid w:val="00F049C2"/>
    <w:rsid w:val="00F04F57"/>
    <w:rsid w:val="00F0537A"/>
    <w:rsid w:val="00F05D0B"/>
    <w:rsid w:val="00F05F19"/>
    <w:rsid w:val="00F072D8"/>
    <w:rsid w:val="00F10DF7"/>
    <w:rsid w:val="00F11FEF"/>
    <w:rsid w:val="00F129F3"/>
    <w:rsid w:val="00F1477C"/>
    <w:rsid w:val="00F14DCA"/>
    <w:rsid w:val="00F156B0"/>
    <w:rsid w:val="00F15877"/>
    <w:rsid w:val="00F1799A"/>
    <w:rsid w:val="00F20101"/>
    <w:rsid w:val="00F20A0A"/>
    <w:rsid w:val="00F2111F"/>
    <w:rsid w:val="00F21549"/>
    <w:rsid w:val="00F21FC3"/>
    <w:rsid w:val="00F22458"/>
    <w:rsid w:val="00F23838"/>
    <w:rsid w:val="00F23885"/>
    <w:rsid w:val="00F23F01"/>
    <w:rsid w:val="00F2487F"/>
    <w:rsid w:val="00F25B8E"/>
    <w:rsid w:val="00F269FD"/>
    <w:rsid w:val="00F3057B"/>
    <w:rsid w:val="00F30D62"/>
    <w:rsid w:val="00F317FA"/>
    <w:rsid w:val="00F3253C"/>
    <w:rsid w:val="00F32F1D"/>
    <w:rsid w:val="00F3423B"/>
    <w:rsid w:val="00F34324"/>
    <w:rsid w:val="00F35B54"/>
    <w:rsid w:val="00F369D3"/>
    <w:rsid w:val="00F4069C"/>
    <w:rsid w:val="00F415BB"/>
    <w:rsid w:val="00F43645"/>
    <w:rsid w:val="00F44122"/>
    <w:rsid w:val="00F45267"/>
    <w:rsid w:val="00F455FA"/>
    <w:rsid w:val="00F47598"/>
    <w:rsid w:val="00F50005"/>
    <w:rsid w:val="00F50634"/>
    <w:rsid w:val="00F50643"/>
    <w:rsid w:val="00F5165E"/>
    <w:rsid w:val="00F539B0"/>
    <w:rsid w:val="00F53BEB"/>
    <w:rsid w:val="00F55CF6"/>
    <w:rsid w:val="00F5629A"/>
    <w:rsid w:val="00F57369"/>
    <w:rsid w:val="00F57391"/>
    <w:rsid w:val="00F60EF8"/>
    <w:rsid w:val="00F61215"/>
    <w:rsid w:val="00F62517"/>
    <w:rsid w:val="00F6350B"/>
    <w:rsid w:val="00F63976"/>
    <w:rsid w:val="00F63F64"/>
    <w:rsid w:val="00F641AE"/>
    <w:rsid w:val="00F64AFB"/>
    <w:rsid w:val="00F64B3E"/>
    <w:rsid w:val="00F65259"/>
    <w:rsid w:val="00F65FB0"/>
    <w:rsid w:val="00F6634D"/>
    <w:rsid w:val="00F70709"/>
    <w:rsid w:val="00F7224D"/>
    <w:rsid w:val="00F7372B"/>
    <w:rsid w:val="00F741DB"/>
    <w:rsid w:val="00F744BB"/>
    <w:rsid w:val="00F749BF"/>
    <w:rsid w:val="00F75573"/>
    <w:rsid w:val="00F75696"/>
    <w:rsid w:val="00F75899"/>
    <w:rsid w:val="00F75A0F"/>
    <w:rsid w:val="00F75A4F"/>
    <w:rsid w:val="00F75D39"/>
    <w:rsid w:val="00F76B9A"/>
    <w:rsid w:val="00F778EA"/>
    <w:rsid w:val="00F805AE"/>
    <w:rsid w:val="00F80B51"/>
    <w:rsid w:val="00F80E68"/>
    <w:rsid w:val="00F81DBA"/>
    <w:rsid w:val="00F8381E"/>
    <w:rsid w:val="00F838C8"/>
    <w:rsid w:val="00F838F2"/>
    <w:rsid w:val="00F84364"/>
    <w:rsid w:val="00F84BEB"/>
    <w:rsid w:val="00F873D6"/>
    <w:rsid w:val="00F87C10"/>
    <w:rsid w:val="00F902C3"/>
    <w:rsid w:val="00F90431"/>
    <w:rsid w:val="00F90D35"/>
    <w:rsid w:val="00F9137A"/>
    <w:rsid w:val="00F9264C"/>
    <w:rsid w:val="00F92E89"/>
    <w:rsid w:val="00F94466"/>
    <w:rsid w:val="00F9469B"/>
    <w:rsid w:val="00F95BC3"/>
    <w:rsid w:val="00F96BEB"/>
    <w:rsid w:val="00F9767B"/>
    <w:rsid w:val="00F9790A"/>
    <w:rsid w:val="00FA02FC"/>
    <w:rsid w:val="00FA0EB9"/>
    <w:rsid w:val="00FA149C"/>
    <w:rsid w:val="00FA18EF"/>
    <w:rsid w:val="00FA1E72"/>
    <w:rsid w:val="00FA2514"/>
    <w:rsid w:val="00FA289B"/>
    <w:rsid w:val="00FA2E4F"/>
    <w:rsid w:val="00FA3174"/>
    <w:rsid w:val="00FA3792"/>
    <w:rsid w:val="00FA5C95"/>
    <w:rsid w:val="00FA670F"/>
    <w:rsid w:val="00FA69D0"/>
    <w:rsid w:val="00FA7156"/>
    <w:rsid w:val="00FA775E"/>
    <w:rsid w:val="00FB0773"/>
    <w:rsid w:val="00FB0BD9"/>
    <w:rsid w:val="00FB2299"/>
    <w:rsid w:val="00FB2522"/>
    <w:rsid w:val="00FB273E"/>
    <w:rsid w:val="00FB280A"/>
    <w:rsid w:val="00FB324F"/>
    <w:rsid w:val="00FB42DC"/>
    <w:rsid w:val="00FB50AF"/>
    <w:rsid w:val="00FB545C"/>
    <w:rsid w:val="00FB5961"/>
    <w:rsid w:val="00FB6EA3"/>
    <w:rsid w:val="00FB7738"/>
    <w:rsid w:val="00FB7771"/>
    <w:rsid w:val="00FC051F"/>
    <w:rsid w:val="00FC06B8"/>
    <w:rsid w:val="00FC0B6E"/>
    <w:rsid w:val="00FC14E7"/>
    <w:rsid w:val="00FC175B"/>
    <w:rsid w:val="00FC17E4"/>
    <w:rsid w:val="00FC197A"/>
    <w:rsid w:val="00FC1B45"/>
    <w:rsid w:val="00FC3C19"/>
    <w:rsid w:val="00FC469A"/>
    <w:rsid w:val="00FC46BC"/>
    <w:rsid w:val="00FC4D07"/>
    <w:rsid w:val="00FC531D"/>
    <w:rsid w:val="00FC69F5"/>
    <w:rsid w:val="00FD063A"/>
    <w:rsid w:val="00FD09E6"/>
    <w:rsid w:val="00FD1F20"/>
    <w:rsid w:val="00FD2F51"/>
    <w:rsid w:val="00FD45BD"/>
    <w:rsid w:val="00FD4DF8"/>
    <w:rsid w:val="00FD4E56"/>
    <w:rsid w:val="00FD5595"/>
    <w:rsid w:val="00FD5917"/>
    <w:rsid w:val="00FD63E5"/>
    <w:rsid w:val="00FD7460"/>
    <w:rsid w:val="00FD769A"/>
    <w:rsid w:val="00FE0E3F"/>
    <w:rsid w:val="00FE30D7"/>
    <w:rsid w:val="00FE3AA5"/>
    <w:rsid w:val="00FE3C4C"/>
    <w:rsid w:val="00FE4B37"/>
    <w:rsid w:val="00FE6C93"/>
    <w:rsid w:val="00FE709C"/>
    <w:rsid w:val="00FE76DD"/>
    <w:rsid w:val="00FE7ADC"/>
    <w:rsid w:val="00FF0C15"/>
    <w:rsid w:val="00FF1114"/>
    <w:rsid w:val="00FF1822"/>
    <w:rsid w:val="00FF2020"/>
    <w:rsid w:val="00FF32FD"/>
    <w:rsid w:val="00FF380C"/>
    <w:rsid w:val="00FF4498"/>
    <w:rsid w:val="00FF47A0"/>
    <w:rsid w:val="00FF4FA4"/>
    <w:rsid w:val="00FF68EA"/>
    <w:rsid w:val="00FF6A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B2DE9E"/>
  <w15:docId w15:val="{245A5063-6075-4516-8044-61F9B4B9F0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F574E"/>
    <w:pPr>
      <w:spacing w:after="180"/>
    </w:pPr>
    <w:rPr>
      <w:lang w:val="en-GB"/>
    </w:rPr>
  </w:style>
  <w:style w:type="paragraph" w:styleId="Heading1">
    <w:name w:val="heading 1"/>
    <w:next w:val="Normal"/>
    <w:link w:val="Heading1Char"/>
    <w:qFormat/>
    <w:rsid w:val="00252EB7"/>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link w:val="Heading2Char"/>
    <w:qFormat/>
    <w:rsid w:val="00252EB7"/>
    <w:pPr>
      <w:numPr>
        <w:ilvl w:val="1"/>
      </w:numPr>
      <w:pBdr>
        <w:top w:val="none" w:sz="0" w:space="0" w:color="auto"/>
      </w:pBdr>
      <w:spacing w:before="180"/>
      <w:outlineLvl w:val="1"/>
    </w:pPr>
    <w:rPr>
      <w:sz w:val="32"/>
    </w:rPr>
  </w:style>
  <w:style w:type="paragraph" w:styleId="Heading3">
    <w:name w:val="heading 3"/>
    <w:basedOn w:val="Heading2"/>
    <w:next w:val="Normal"/>
    <w:qFormat/>
    <w:rsid w:val="00252EB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52EB7"/>
    <w:pPr>
      <w:numPr>
        <w:ilvl w:val="3"/>
      </w:numPr>
      <w:outlineLvl w:val="3"/>
    </w:pPr>
    <w:rPr>
      <w:sz w:val="24"/>
    </w:rPr>
  </w:style>
  <w:style w:type="paragraph" w:styleId="Heading5">
    <w:name w:val="heading 5"/>
    <w:basedOn w:val="Heading4"/>
    <w:next w:val="Normal"/>
    <w:qFormat/>
    <w:rsid w:val="00252EB7"/>
    <w:pPr>
      <w:numPr>
        <w:ilvl w:val="4"/>
      </w:numPr>
      <w:outlineLvl w:val="4"/>
    </w:pPr>
    <w:rPr>
      <w:sz w:val="22"/>
    </w:rPr>
  </w:style>
  <w:style w:type="paragraph" w:styleId="Heading6">
    <w:name w:val="heading 6"/>
    <w:basedOn w:val="H6"/>
    <w:next w:val="Normal"/>
    <w:qFormat/>
    <w:rsid w:val="00252EB7"/>
    <w:pPr>
      <w:numPr>
        <w:ilvl w:val="5"/>
      </w:numPr>
      <w:outlineLvl w:val="5"/>
    </w:pPr>
  </w:style>
  <w:style w:type="paragraph" w:styleId="Heading7">
    <w:name w:val="heading 7"/>
    <w:basedOn w:val="H6"/>
    <w:next w:val="Normal"/>
    <w:qFormat/>
    <w:rsid w:val="00252EB7"/>
    <w:pPr>
      <w:numPr>
        <w:ilvl w:val="6"/>
      </w:numPr>
      <w:outlineLvl w:val="6"/>
    </w:pPr>
  </w:style>
  <w:style w:type="paragraph" w:styleId="Heading8">
    <w:name w:val="heading 8"/>
    <w:basedOn w:val="Heading1"/>
    <w:next w:val="Normal"/>
    <w:qFormat/>
    <w:rsid w:val="00252EB7"/>
    <w:pPr>
      <w:numPr>
        <w:ilvl w:val="7"/>
      </w:numPr>
      <w:outlineLvl w:val="7"/>
    </w:pPr>
  </w:style>
  <w:style w:type="paragraph" w:styleId="Heading9">
    <w:name w:val="heading 9"/>
    <w:basedOn w:val="Heading8"/>
    <w:next w:val="Normal"/>
    <w:qFormat/>
    <w:rsid w:val="00252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2EB7"/>
    <w:pPr>
      <w:ind w:left="1985" w:hanging="1985"/>
      <w:outlineLvl w:val="9"/>
    </w:pPr>
    <w:rPr>
      <w:sz w:val="20"/>
    </w:rPr>
  </w:style>
  <w:style w:type="paragraph" w:styleId="TOC9">
    <w:name w:val="toc 9"/>
    <w:basedOn w:val="TOC8"/>
    <w:uiPriority w:val="39"/>
    <w:rsid w:val="00252EB7"/>
    <w:pPr>
      <w:ind w:left="1418" w:hanging="1418"/>
    </w:pPr>
  </w:style>
  <w:style w:type="paragraph" w:styleId="TOC8">
    <w:name w:val="toc 8"/>
    <w:basedOn w:val="TOC1"/>
    <w:semiHidden/>
    <w:rsid w:val="00252EB7"/>
    <w:pPr>
      <w:spacing w:before="180"/>
      <w:ind w:left="2693" w:hanging="2693"/>
    </w:pPr>
    <w:rPr>
      <w:b/>
    </w:rPr>
  </w:style>
  <w:style w:type="paragraph" w:styleId="TOC1">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TOC5">
    <w:name w:val="toc 5"/>
    <w:basedOn w:val="TOC4"/>
    <w:semiHidden/>
    <w:rsid w:val="00252EB7"/>
    <w:pPr>
      <w:ind w:left="1701" w:hanging="1701"/>
    </w:pPr>
  </w:style>
  <w:style w:type="paragraph" w:styleId="TOC4">
    <w:name w:val="toc 4"/>
    <w:basedOn w:val="TOC3"/>
    <w:semiHidden/>
    <w:rsid w:val="00252EB7"/>
    <w:pPr>
      <w:ind w:left="1418" w:hanging="1418"/>
    </w:pPr>
  </w:style>
  <w:style w:type="paragraph" w:styleId="TOC3">
    <w:name w:val="toc 3"/>
    <w:basedOn w:val="TOC2"/>
    <w:semiHidden/>
    <w:rsid w:val="00252EB7"/>
    <w:pPr>
      <w:ind w:left="1134" w:hanging="1134"/>
    </w:pPr>
  </w:style>
  <w:style w:type="paragraph" w:styleId="TOC2">
    <w:name w:val="toc 2"/>
    <w:basedOn w:val="TOC1"/>
    <w:uiPriority w:val="39"/>
    <w:rsid w:val="00252EB7"/>
    <w:pPr>
      <w:keepNext w:val="0"/>
      <w:spacing w:before="0"/>
      <w:ind w:left="851" w:hanging="851"/>
    </w:pPr>
    <w:rPr>
      <w:sz w:val="20"/>
    </w:rPr>
  </w:style>
  <w:style w:type="paragraph" w:styleId="Index1">
    <w:name w:val="index 1"/>
    <w:basedOn w:val="Normal"/>
    <w:semiHidden/>
    <w:rsid w:val="00252EB7"/>
    <w:pPr>
      <w:keepLines/>
      <w:spacing w:after="0"/>
    </w:pPr>
  </w:style>
  <w:style w:type="paragraph" w:styleId="Index2">
    <w:name w:val="index 2"/>
    <w:basedOn w:val="Index1"/>
    <w:semiHidden/>
    <w:rsid w:val="00252EB7"/>
    <w:pPr>
      <w:ind w:left="284"/>
    </w:pPr>
  </w:style>
  <w:style w:type="paragraph" w:customStyle="1" w:styleId="TT">
    <w:name w:val="TT"/>
    <w:basedOn w:val="Heading1"/>
    <w:next w:val="Normal"/>
    <w:rsid w:val="00252EB7"/>
    <w:pPr>
      <w:outlineLvl w:val="9"/>
    </w:pPr>
  </w:style>
  <w:style w:type="paragraph" w:styleId="Footer">
    <w:name w:val="footer"/>
    <w:basedOn w:val="Header"/>
    <w:rsid w:val="00252EB7"/>
    <w:pPr>
      <w:jc w:val="center"/>
    </w:pPr>
    <w:rPr>
      <w:i/>
    </w:rPr>
  </w:style>
  <w:style w:type="character" w:styleId="FootnoteReference">
    <w:name w:val="footnote reference"/>
    <w:semiHidden/>
    <w:rsid w:val="00252EB7"/>
    <w:rPr>
      <w:b/>
      <w:position w:val="6"/>
      <w:sz w:val="16"/>
    </w:rPr>
  </w:style>
  <w:style w:type="paragraph" w:styleId="FootnoteText">
    <w:name w:val="footnote text"/>
    <w:basedOn w:val="Normal"/>
    <w:link w:val="FootnoteTextChar"/>
    <w:semiHidden/>
    <w:rsid w:val="00252EB7"/>
    <w:pPr>
      <w:keepLines/>
      <w:spacing w:after="0"/>
      <w:ind w:left="454" w:hanging="454"/>
    </w:pPr>
    <w:rPr>
      <w:sz w:val="16"/>
    </w:rPr>
  </w:style>
  <w:style w:type="paragraph" w:customStyle="1" w:styleId="NF">
    <w:name w:val="NF"/>
    <w:basedOn w:val="NO"/>
    <w:rsid w:val="00252EB7"/>
    <w:pPr>
      <w:keepNext/>
      <w:spacing w:after="0"/>
    </w:pPr>
    <w:rPr>
      <w:rFonts w:ascii="Arial" w:hAnsi="Arial"/>
      <w:sz w:val="18"/>
    </w:rPr>
  </w:style>
  <w:style w:type="paragraph" w:customStyle="1" w:styleId="NO">
    <w:name w:val="NO"/>
    <w:basedOn w:val="Normal"/>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Normal"/>
    <w:link w:val="TALChar"/>
    <w:rsid w:val="00252EB7"/>
    <w:pPr>
      <w:keepNext/>
      <w:keepLines/>
      <w:spacing w:after="0"/>
    </w:pPr>
    <w:rPr>
      <w:rFonts w:ascii="Arial" w:hAnsi="Arial"/>
      <w:sz w:val="18"/>
    </w:rPr>
  </w:style>
  <w:style w:type="paragraph" w:styleId="ListNumber2">
    <w:name w:val="List Number 2"/>
    <w:basedOn w:val="ListNumber"/>
    <w:rsid w:val="00252EB7"/>
    <w:pPr>
      <w:ind w:left="851"/>
    </w:pPr>
  </w:style>
  <w:style w:type="paragraph" w:styleId="ListNumber">
    <w:name w:val="List Number"/>
    <w:basedOn w:val="List"/>
    <w:rsid w:val="00252EB7"/>
  </w:style>
  <w:style w:type="paragraph" w:styleId="List">
    <w:name w:val="List"/>
    <w:basedOn w:val="Normal"/>
    <w:rsid w:val="00252EB7"/>
    <w:pPr>
      <w:ind w:left="568" w:hanging="284"/>
    </w:pPr>
  </w:style>
  <w:style w:type="paragraph" w:customStyle="1" w:styleId="TAH">
    <w:name w:val="TAH"/>
    <w:basedOn w:val="TAC"/>
    <w:link w:val="TAHCar"/>
    <w:qFormat/>
    <w:rsid w:val="00252EB7"/>
    <w:rPr>
      <w:b/>
    </w:rPr>
  </w:style>
  <w:style w:type="paragraph" w:customStyle="1" w:styleId="TAC">
    <w:name w:val="TAC"/>
    <w:basedOn w:val="TAL"/>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Normal"/>
    <w:rsid w:val="00252EB7"/>
    <w:pPr>
      <w:keepLines/>
      <w:ind w:left="1702" w:hanging="1418"/>
    </w:pPr>
  </w:style>
  <w:style w:type="paragraph" w:customStyle="1" w:styleId="FP">
    <w:name w:val="FP"/>
    <w:basedOn w:val="Normal"/>
    <w:rsid w:val="00252EB7"/>
    <w:pPr>
      <w:spacing w:after="0"/>
    </w:pPr>
  </w:style>
  <w:style w:type="paragraph" w:customStyle="1" w:styleId="NW">
    <w:name w:val="NW"/>
    <w:basedOn w:val="NO"/>
    <w:rsid w:val="00252EB7"/>
    <w:pPr>
      <w:spacing w:after="0"/>
    </w:pPr>
  </w:style>
  <w:style w:type="paragraph" w:customStyle="1" w:styleId="EW">
    <w:name w:val="EW"/>
    <w:basedOn w:val="EX"/>
    <w:rsid w:val="00252EB7"/>
    <w:pPr>
      <w:spacing w:after="0"/>
    </w:pPr>
  </w:style>
  <w:style w:type="paragraph" w:customStyle="1" w:styleId="B1">
    <w:name w:val="B1"/>
    <w:basedOn w:val="List"/>
    <w:link w:val="B10"/>
    <w:qFormat/>
    <w:rsid w:val="00252EB7"/>
  </w:style>
  <w:style w:type="paragraph" w:styleId="TOC6">
    <w:name w:val="toc 6"/>
    <w:basedOn w:val="TOC5"/>
    <w:next w:val="Normal"/>
    <w:semiHidden/>
    <w:rsid w:val="00252EB7"/>
    <w:pPr>
      <w:ind w:left="1985" w:hanging="1985"/>
    </w:pPr>
  </w:style>
  <w:style w:type="paragraph" w:styleId="TOC7">
    <w:name w:val="toc 7"/>
    <w:basedOn w:val="TOC6"/>
    <w:next w:val="Normal"/>
    <w:semiHidden/>
    <w:rsid w:val="00252EB7"/>
    <w:pPr>
      <w:ind w:left="2268" w:hanging="2268"/>
    </w:pPr>
  </w:style>
  <w:style w:type="paragraph" w:styleId="ListBullet2">
    <w:name w:val="List Bullet 2"/>
    <w:basedOn w:val="ListBullet"/>
    <w:rsid w:val="00252EB7"/>
    <w:pPr>
      <w:ind w:left="851"/>
    </w:pPr>
  </w:style>
  <w:style w:type="paragraph" w:styleId="ListBullet">
    <w:name w:val="List Bullet"/>
    <w:basedOn w:val="List"/>
    <w:rsid w:val="00252EB7"/>
  </w:style>
  <w:style w:type="paragraph" w:customStyle="1" w:styleId="EditorsNote">
    <w:name w:val="Editor's Note"/>
    <w:basedOn w:val="NO"/>
    <w:rsid w:val="00252EB7"/>
    <w:rPr>
      <w:color w:val="FF0000"/>
    </w:rPr>
  </w:style>
  <w:style w:type="paragraph" w:customStyle="1" w:styleId="TH">
    <w:name w:val="TH"/>
    <w:basedOn w:val="Normal"/>
    <w:link w:val="THChar"/>
    <w:qFormat/>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basedOn w:val="TH"/>
    <w:link w:val="TFChar"/>
    <w:qFormat/>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252EB7"/>
    <w:pPr>
      <w:ind w:left="1135"/>
    </w:pPr>
  </w:style>
  <w:style w:type="paragraph" w:styleId="List2">
    <w:name w:val="List 2"/>
    <w:basedOn w:val="List"/>
    <w:rsid w:val="00252EB7"/>
    <w:pPr>
      <w:ind w:left="851"/>
    </w:pPr>
  </w:style>
  <w:style w:type="paragraph" w:styleId="List3">
    <w:name w:val="List 3"/>
    <w:basedOn w:val="List2"/>
    <w:rsid w:val="00252EB7"/>
    <w:pPr>
      <w:ind w:left="1135"/>
    </w:pPr>
  </w:style>
  <w:style w:type="paragraph" w:styleId="List4">
    <w:name w:val="List 4"/>
    <w:basedOn w:val="List3"/>
    <w:rsid w:val="00252EB7"/>
    <w:pPr>
      <w:ind w:left="1418"/>
    </w:pPr>
  </w:style>
  <w:style w:type="paragraph" w:styleId="List5">
    <w:name w:val="List 5"/>
    <w:basedOn w:val="List4"/>
    <w:rsid w:val="00252EB7"/>
    <w:pPr>
      <w:ind w:left="1702"/>
    </w:pPr>
  </w:style>
  <w:style w:type="paragraph" w:styleId="ListBullet4">
    <w:name w:val="List Bullet 4"/>
    <w:basedOn w:val="ListBullet3"/>
    <w:rsid w:val="00252EB7"/>
    <w:pPr>
      <w:ind w:left="1418"/>
    </w:pPr>
  </w:style>
  <w:style w:type="paragraph" w:styleId="ListBullet5">
    <w:name w:val="List Bullet 5"/>
    <w:basedOn w:val="ListBullet4"/>
    <w:rsid w:val="00252EB7"/>
    <w:pPr>
      <w:ind w:left="1702"/>
    </w:pPr>
  </w:style>
  <w:style w:type="paragraph" w:customStyle="1" w:styleId="B2">
    <w:name w:val="B2"/>
    <w:basedOn w:val="List2"/>
    <w:link w:val="B2Char"/>
    <w:rsid w:val="00252EB7"/>
  </w:style>
  <w:style w:type="paragraph" w:customStyle="1" w:styleId="B3">
    <w:name w:val="B3"/>
    <w:basedOn w:val="List3"/>
    <w:rsid w:val="00252EB7"/>
  </w:style>
  <w:style w:type="paragraph" w:customStyle="1" w:styleId="B4">
    <w:name w:val="B4"/>
    <w:basedOn w:val="List4"/>
    <w:rsid w:val="00252EB7"/>
  </w:style>
  <w:style w:type="paragraph" w:customStyle="1" w:styleId="B5">
    <w:name w:val="B5"/>
    <w:basedOn w:val="List5"/>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IndexHeading">
    <w:name w:val="index heading"/>
    <w:basedOn w:val="Normal"/>
    <w:next w:val="Normal"/>
    <w:semiHidden/>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52EB7"/>
    <w:pPr>
      <w:keepNext/>
      <w:keepLines/>
      <w:spacing w:before="240"/>
      <w:ind w:left="1418"/>
    </w:pPr>
    <w:rPr>
      <w:rFonts w:ascii="Arial" w:hAnsi="Arial"/>
      <w:b/>
      <w:sz w:val="36"/>
      <w:lang w:val="en-US"/>
    </w:rPr>
  </w:style>
  <w:style w:type="paragraph" w:styleId="Caption">
    <w:name w:val="caption"/>
    <w:aliases w:val="cap"/>
    <w:basedOn w:val="Normal"/>
    <w:next w:val="Normal"/>
    <w:link w:val="CaptionChar"/>
    <w:qFormat/>
    <w:rsid w:val="00252EB7"/>
    <w:pPr>
      <w:spacing w:before="120" w:after="120"/>
    </w:pPr>
    <w:rPr>
      <w:b/>
    </w:rPr>
  </w:style>
  <w:style w:type="character" w:styleId="Hyperlink">
    <w:name w:val="Hyperlink"/>
    <w:uiPriority w:val="99"/>
    <w:rsid w:val="00252EB7"/>
    <w:rPr>
      <w:color w:val="0000FF"/>
      <w:u w:val="single"/>
    </w:rPr>
  </w:style>
  <w:style w:type="character" w:styleId="FollowedHyperlink">
    <w:name w:val="FollowedHyperlink"/>
    <w:rsid w:val="00252EB7"/>
    <w:rPr>
      <w:color w:val="800080"/>
      <w:u w:val="single"/>
    </w:rPr>
  </w:style>
  <w:style w:type="paragraph" w:styleId="DocumentMap">
    <w:name w:val="Document Map"/>
    <w:basedOn w:val="Normal"/>
    <w:semiHidden/>
    <w:rsid w:val="00252EB7"/>
    <w:pPr>
      <w:shd w:val="clear" w:color="auto" w:fill="000080"/>
    </w:pPr>
    <w:rPr>
      <w:rFonts w:ascii="Tahoma" w:hAnsi="Tahoma"/>
    </w:rPr>
  </w:style>
  <w:style w:type="paragraph" w:styleId="PlainText">
    <w:name w:val="Plain Text"/>
    <w:basedOn w:val="Normal"/>
    <w:rsid w:val="00252EB7"/>
    <w:rPr>
      <w:rFonts w:ascii="Courier New" w:hAnsi="Courier New"/>
      <w:lang w:val="nb-NO"/>
    </w:rPr>
  </w:style>
  <w:style w:type="paragraph" w:customStyle="1" w:styleId="TAJ">
    <w:name w:val="TAJ"/>
    <w:basedOn w:val="TH"/>
    <w:rsid w:val="00252EB7"/>
  </w:style>
  <w:style w:type="paragraph" w:styleId="BodyText">
    <w:name w:val="Body Text"/>
    <w:basedOn w:val="Normal"/>
    <w:link w:val="BodyTextChar"/>
    <w:rsid w:val="00252EB7"/>
  </w:style>
  <w:style w:type="character" w:styleId="CommentReference">
    <w:name w:val="annotation reference"/>
    <w:semiHidden/>
    <w:rsid w:val="00252EB7"/>
    <w:rPr>
      <w:sz w:val="16"/>
    </w:rPr>
  </w:style>
  <w:style w:type="paragraph" w:customStyle="1" w:styleId="Guidance">
    <w:name w:val="Guidance"/>
    <w:basedOn w:val="Normal"/>
    <w:uiPriority w:val="99"/>
    <w:rsid w:val="00252EB7"/>
    <w:rPr>
      <w:i/>
      <w:color w:val="0000FF"/>
    </w:rPr>
  </w:style>
  <w:style w:type="paragraph" w:styleId="CommentText">
    <w:name w:val="annotation text"/>
    <w:basedOn w:val="Normal"/>
    <w:link w:val="CommentTextChar"/>
    <w:semiHidden/>
    <w:rsid w:val="00252EB7"/>
  </w:style>
  <w:style w:type="paragraph" w:styleId="BalloonText">
    <w:name w:val="Balloon Text"/>
    <w:basedOn w:val="Normal"/>
    <w:link w:val="BalloonTextChar"/>
    <w:rsid w:val="00904188"/>
    <w:pPr>
      <w:spacing w:after="0"/>
    </w:pPr>
    <w:rPr>
      <w:rFonts w:ascii="Tahoma" w:hAnsi="Tahoma"/>
      <w:sz w:val="16"/>
      <w:szCs w:val="16"/>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val="en-GB"/>
    </w:rPr>
  </w:style>
  <w:style w:type="character" w:customStyle="1" w:styleId="TALChar">
    <w:name w:val="TAL Char"/>
    <w:link w:val="TAL"/>
    <w:qFormat/>
    <w:rsid w:val="004A07B6"/>
    <w:rPr>
      <w:rFonts w:ascii="Arial" w:hAnsi="Arial"/>
      <w:sz w:val="18"/>
      <w:lang w:val="en-GB" w:eastAsia="en-US"/>
    </w:rPr>
  </w:style>
  <w:style w:type="character" w:customStyle="1" w:styleId="THChar">
    <w:name w:val="TH Char"/>
    <w:link w:val="TH"/>
    <w:qFormat/>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val="en-GB"/>
    </w:rPr>
  </w:style>
  <w:style w:type="paragraph" w:styleId="ListParagraph">
    <w:name w:val="List Paragraph"/>
    <w:aliases w:val="- Bullets,列出段落,Lista1,?? ??,?????,????,목록 단락,1st level - Bullet List Paragraph,List Paragraph1,Lettre d'introduction,Paragrafo elenco,Normal bullet 2,Bullet list,Numbered List,Task Body,Viñetas (Inicio Parrafo),3 Txt tabla,列出段落1,목록 단"/>
    <w:basedOn w:val="Normal"/>
    <w:link w:val="ListParagraphChar"/>
    <w:uiPriority w:val="34"/>
    <w:qFormat/>
    <w:rsid w:val="00EE56F6"/>
    <w:pPr>
      <w:ind w:left="720"/>
    </w:pPr>
  </w:style>
  <w:style w:type="paragraph" w:styleId="NormalWeb">
    <w:name w:val="Normal (Web)"/>
    <w:basedOn w:val="Normal"/>
    <w:uiPriority w:val="99"/>
    <w:unhideWhenUsed/>
    <w:rsid w:val="00CB5A7C"/>
    <w:pPr>
      <w:spacing w:before="100" w:beforeAutospacing="1" w:after="100" w:afterAutospacing="1"/>
    </w:pPr>
    <w:rPr>
      <w:rFonts w:eastAsia="Times New Roman"/>
      <w:sz w:val="24"/>
      <w:szCs w:val="24"/>
      <w:lang w:val="en-US" w:eastAsia="zh-CN"/>
    </w:rPr>
  </w:style>
  <w:style w:type="character" w:customStyle="1" w:styleId="FootnoteTextChar">
    <w:name w:val="Footnote Text Char"/>
    <w:link w:val="FootnoteText"/>
    <w:semiHidden/>
    <w:rsid w:val="000C43F7"/>
    <w:rPr>
      <w:sz w:val="16"/>
      <w:lang w:val="en-GB" w:eastAsia="en-US"/>
    </w:rPr>
  </w:style>
  <w:style w:type="character" w:customStyle="1" w:styleId="ListParagraphChar">
    <w:name w:val="List Paragraph Char"/>
    <w:aliases w:val="- Bullets Char,列出段落 Char,Lista1 Char,?? ?? Char,????? Char,???? Char,목록 단락 Char,1st level - Bullet List Paragraph Char,List Paragraph1 Char,Lettre d'introduction Char,Paragrafo elenco Char,Normal bullet 2 Char,Bullet list Char"/>
    <w:link w:val="ListParagraph"/>
    <w:uiPriority w:val="34"/>
    <w:qFormat/>
    <w:locked/>
    <w:rsid w:val="00454F89"/>
    <w:rPr>
      <w:lang w:val="en-GB" w:eastAsia="en-US"/>
    </w:rPr>
  </w:style>
  <w:style w:type="character" w:customStyle="1" w:styleId="st1">
    <w:name w:val="st1"/>
    <w:rsid w:val="002A2D8B"/>
  </w:style>
  <w:style w:type="character" w:customStyle="1" w:styleId="BodyTextChar">
    <w:name w:val="Body Text Char"/>
    <w:link w:val="BodyText"/>
    <w:rsid w:val="00EB04FF"/>
    <w:rPr>
      <w:lang w:val="en-GB"/>
    </w:rPr>
  </w:style>
  <w:style w:type="table" w:styleId="TableGrid">
    <w:name w:val="Table Grid"/>
    <w:basedOn w:val="TableNormal"/>
    <w:uiPriority w:val="39"/>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0E4A2D"/>
    <w:rPr>
      <w:b/>
      <w:bCs/>
    </w:rPr>
  </w:style>
  <w:style w:type="character" w:customStyle="1" w:styleId="CommentTextChar">
    <w:name w:val="Comment Text Char"/>
    <w:link w:val="CommentText"/>
    <w:semiHidden/>
    <w:rsid w:val="000E4A2D"/>
    <w:rPr>
      <w:lang w:val="en-GB"/>
    </w:rPr>
  </w:style>
  <w:style w:type="character" w:customStyle="1" w:styleId="CommentSubjectChar">
    <w:name w:val="Comment Subject Char"/>
    <w:link w:val="CommentSubject"/>
    <w:rsid w:val="000E4A2D"/>
    <w:rPr>
      <w:b/>
      <w:bCs/>
      <w:lang w:val="en-GB"/>
    </w:rPr>
  </w:style>
  <w:style w:type="character" w:customStyle="1" w:styleId="B1Zchn">
    <w:name w:val="B1 Zchn"/>
    <w:basedOn w:val="DefaultParagraphFont"/>
    <w:rsid w:val="006113D3"/>
    <w:rPr>
      <w:rFonts w:eastAsia="Times New Roman"/>
    </w:rPr>
  </w:style>
  <w:style w:type="paragraph" w:customStyle="1" w:styleId="LGTdoc1">
    <w:name w:val="LGTdoc_제목1"/>
    <w:basedOn w:val="Normal"/>
    <w:rsid w:val="00FB6EA3"/>
    <w:pPr>
      <w:adjustRightInd w:val="0"/>
      <w:snapToGrid w:val="0"/>
      <w:spacing w:beforeLines="50" w:after="100" w:afterAutospacing="1"/>
      <w:jc w:val="both"/>
    </w:pPr>
    <w:rPr>
      <w:rFonts w:eastAsia="Batang"/>
      <w:b/>
      <w:snapToGrid w:val="0"/>
      <w:sz w:val="28"/>
      <w:lang w:eastAsia="ko-KR"/>
    </w:rPr>
  </w:style>
  <w:style w:type="table" w:styleId="GridTable4-Accent4">
    <w:name w:val="Grid Table 4 Accent 4"/>
    <w:basedOn w:val="TableNormal"/>
    <w:uiPriority w:val="49"/>
    <w:rsid w:val="00662AA0"/>
    <w:rPr>
      <w:rFonts w:asciiTheme="minorHAnsi" w:eastAsiaTheme="minorEastAsia" w:hAnsiTheme="minorHAnsi" w:cstheme="minorBidi"/>
      <w:sz w:val="22"/>
      <w:szCs w:val="22"/>
      <w:lang w:eastAsia="zh-CN"/>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character" w:customStyle="1" w:styleId="B2Char">
    <w:name w:val="B2 Char"/>
    <w:link w:val="B2"/>
    <w:rsid w:val="003F3F83"/>
    <w:rPr>
      <w:lang w:val="en-GB"/>
    </w:rPr>
  </w:style>
  <w:style w:type="character" w:customStyle="1" w:styleId="B1Char">
    <w:name w:val="B1 Char"/>
    <w:rsid w:val="003F3F83"/>
    <w:rPr>
      <w:rFonts w:eastAsia="MS Mincho"/>
      <w:lang w:val="en-GB" w:eastAsia="en-US" w:bidi="ar-SA"/>
    </w:rPr>
  </w:style>
  <w:style w:type="character" w:customStyle="1" w:styleId="Heading1Char">
    <w:name w:val="Heading 1 Char"/>
    <w:basedOn w:val="DefaultParagraphFont"/>
    <w:link w:val="Heading1"/>
    <w:rsid w:val="00640116"/>
    <w:rPr>
      <w:rFonts w:ascii="Arial" w:hAnsi="Arial"/>
      <w:sz w:val="36"/>
      <w:lang w:val="en-GB"/>
    </w:rPr>
  </w:style>
  <w:style w:type="character" w:customStyle="1" w:styleId="TFChar">
    <w:name w:val="TF Char"/>
    <w:link w:val="TF"/>
    <w:locked/>
    <w:rsid w:val="00225FE0"/>
    <w:rPr>
      <w:rFonts w:ascii="Arial" w:hAnsi="Arial"/>
      <w:b/>
      <w:lang w:val="en-GB"/>
    </w:rPr>
  </w:style>
  <w:style w:type="character" w:customStyle="1" w:styleId="TAHCar">
    <w:name w:val="TAH Car"/>
    <w:link w:val="TAH"/>
    <w:qFormat/>
    <w:locked/>
    <w:rsid w:val="00E4690B"/>
    <w:rPr>
      <w:rFonts w:ascii="Arial" w:hAnsi="Arial"/>
      <w:b/>
      <w:sz w:val="18"/>
      <w:lang w:val="en-GB"/>
    </w:rPr>
  </w:style>
  <w:style w:type="table" w:customStyle="1" w:styleId="TableGrid1">
    <w:name w:val="Table Grid1"/>
    <w:basedOn w:val="TableNormal"/>
    <w:next w:val="TableGrid"/>
    <w:rsid w:val="007C6CC8"/>
    <w:pPr>
      <w:widowControl w:val="0"/>
      <w:autoSpaceDE w:val="0"/>
      <w:autoSpaceDN w:val="0"/>
      <w:adjustRightInd w:val="0"/>
      <w:spacing w:after="120"/>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4F402C"/>
    <w:rPr>
      <w:rFonts w:ascii="Times New Roman" w:hAnsi="Times New Roman"/>
      <w:lang w:eastAsia="zh-CN"/>
    </w:rPr>
  </w:style>
  <w:style w:type="table" w:styleId="ListTable3-Accent1">
    <w:name w:val="List Table 3 Accent 1"/>
    <w:basedOn w:val="TableNormal"/>
    <w:uiPriority w:val="48"/>
    <w:rsid w:val="00827ABC"/>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48643374">
      <w:bodyDiv w:val="1"/>
      <w:marLeft w:val="0"/>
      <w:marRight w:val="0"/>
      <w:marTop w:val="0"/>
      <w:marBottom w:val="0"/>
      <w:divBdr>
        <w:top w:val="none" w:sz="0" w:space="0" w:color="auto"/>
        <w:left w:val="none" w:sz="0" w:space="0" w:color="auto"/>
        <w:bottom w:val="none" w:sz="0" w:space="0" w:color="auto"/>
        <w:right w:val="none" w:sz="0" w:space="0" w:color="auto"/>
      </w:divBdr>
    </w:div>
    <w:div w:id="152529581">
      <w:bodyDiv w:val="1"/>
      <w:marLeft w:val="0"/>
      <w:marRight w:val="0"/>
      <w:marTop w:val="0"/>
      <w:marBottom w:val="0"/>
      <w:divBdr>
        <w:top w:val="none" w:sz="0" w:space="0" w:color="auto"/>
        <w:left w:val="none" w:sz="0" w:space="0" w:color="auto"/>
        <w:bottom w:val="none" w:sz="0" w:space="0" w:color="auto"/>
        <w:right w:val="none" w:sz="0" w:space="0" w:color="auto"/>
      </w:divBdr>
      <w:divsChild>
        <w:div w:id="366179146">
          <w:marLeft w:val="547"/>
          <w:marRight w:val="0"/>
          <w:marTop w:val="115"/>
          <w:marBottom w:val="0"/>
          <w:divBdr>
            <w:top w:val="none" w:sz="0" w:space="0" w:color="auto"/>
            <w:left w:val="none" w:sz="0" w:space="0" w:color="auto"/>
            <w:bottom w:val="none" w:sz="0" w:space="0" w:color="auto"/>
            <w:right w:val="none" w:sz="0" w:space="0" w:color="auto"/>
          </w:divBdr>
        </w:div>
        <w:div w:id="917252233">
          <w:marLeft w:val="1166"/>
          <w:marRight w:val="0"/>
          <w:marTop w:val="86"/>
          <w:marBottom w:val="0"/>
          <w:divBdr>
            <w:top w:val="none" w:sz="0" w:space="0" w:color="auto"/>
            <w:left w:val="none" w:sz="0" w:space="0" w:color="auto"/>
            <w:bottom w:val="none" w:sz="0" w:space="0" w:color="auto"/>
            <w:right w:val="none" w:sz="0" w:space="0" w:color="auto"/>
          </w:divBdr>
        </w:div>
        <w:div w:id="1778716732">
          <w:marLeft w:val="1166"/>
          <w:marRight w:val="0"/>
          <w:marTop w:val="86"/>
          <w:marBottom w:val="0"/>
          <w:divBdr>
            <w:top w:val="none" w:sz="0" w:space="0" w:color="auto"/>
            <w:left w:val="none" w:sz="0" w:space="0" w:color="auto"/>
            <w:bottom w:val="none" w:sz="0" w:space="0" w:color="auto"/>
            <w:right w:val="none" w:sz="0" w:space="0" w:color="auto"/>
          </w:divBdr>
        </w:div>
        <w:div w:id="350572232">
          <w:marLeft w:val="1800"/>
          <w:marRight w:val="0"/>
          <w:marTop w:val="77"/>
          <w:marBottom w:val="0"/>
          <w:divBdr>
            <w:top w:val="none" w:sz="0" w:space="0" w:color="auto"/>
            <w:left w:val="none" w:sz="0" w:space="0" w:color="auto"/>
            <w:bottom w:val="none" w:sz="0" w:space="0" w:color="auto"/>
            <w:right w:val="none" w:sz="0" w:space="0" w:color="auto"/>
          </w:divBdr>
        </w:div>
        <w:div w:id="843936851">
          <w:marLeft w:val="1800"/>
          <w:marRight w:val="0"/>
          <w:marTop w:val="77"/>
          <w:marBottom w:val="0"/>
          <w:divBdr>
            <w:top w:val="none" w:sz="0" w:space="0" w:color="auto"/>
            <w:left w:val="none" w:sz="0" w:space="0" w:color="auto"/>
            <w:bottom w:val="none" w:sz="0" w:space="0" w:color="auto"/>
            <w:right w:val="none" w:sz="0" w:space="0" w:color="auto"/>
          </w:divBdr>
        </w:div>
        <w:div w:id="599804010">
          <w:marLeft w:val="1800"/>
          <w:marRight w:val="0"/>
          <w:marTop w:val="77"/>
          <w:marBottom w:val="0"/>
          <w:divBdr>
            <w:top w:val="none" w:sz="0" w:space="0" w:color="auto"/>
            <w:left w:val="none" w:sz="0" w:space="0" w:color="auto"/>
            <w:bottom w:val="none" w:sz="0" w:space="0" w:color="auto"/>
            <w:right w:val="none" w:sz="0" w:space="0" w:color="auto"/>
          </w:divBdr>
        </w:div>
        <w:div w:id="652948383">
          <w:marLeft w:val="1800"/>
          <w:marRight w:val="0"/>
          <w:marTop w:val="77"/>
          <w:marBottom w:val="0"/>
          <w:divBdr>
            <w:top w:val="none" w:sz="0" w:space="0" w:color="auto"/>
            <w:left w:val="none" w:sz="0" w:space="0" w:color="auto"/>
            <w:bottom w:val="none" w:sz="0" w:space="0" w:color="auto"/>
            <w:right w:val="none" w:sz="0" w:space="0" w:color="auto"/>
          </w:divBdr>
        </w:div>
        <w:div w:id="1225489336">
          <w:marLeft w:val="1166"/>
          <w:marRight w:val="0"/>
          <w:marTop w:val="86"/>
          <w:marBottom w:val="0"/>
          <w:divBdr>
            <w:top w:val="none" w:sz="0" w:space="0" w:color="auto"/>
            <w:left w:val="none" w:sz="0" w:space="0" w:color="auto"/>
            <w:bottom w:val="none" w:sz="0" w:space="0" w:color="auto"/>
            <w:right w:val="none" w:sz="0" w:space="0" w:color="auto"/>
          </w:divBdr>
        </w:div>
        <w:div w:id="2053385251">
          <w:marLeft w:val="1800"/>
          <w:marRight w:val="0"/>
          <w:marTop w:val="77"/>
          <w:marBottom w:val="0"/>
          <w:divBdr>
            <w:top w:val="none" w:sz="0" w:space="0" w:color="auto"/>
            <w:left w:val="none" w:sz="0" w:space="0" w:color="auto"/>
            <w:bottom w:val="none" w:sz="0" w:space="0" w:color="auto"/>
            <w:right w:val="none" w:sz="0" w:space="0" w:color="auto"/>
          </w:divBdr>
        </w:div>
        <w:div w:id="2042513890">
          <w:marLeft w:val="1166"/>
          <w:marRight w:val="0"/>
          <w:marTop w:val="96"/>
          <w:marBottom w:val="0"/>
          <w:divBdr>
            <w:top w:val="none" w:sz="0" w:space="0" w:color="auto"/>
            <w:left w:val="none" w:sz="0" w:space="0" w:color="auto"/>
            <w:bottom w:val="none" w:sz="0" w:space="0" w:color="auto"/>
            <w:right w:val="none" w:sz="0" w:space="0" w:color="auto"/>
          </w:divBdr>
        </w:div>
      </w:divsChild>
    </w:div>
    <w:div w:id="164515532">
      <w:bodyDiv w:val="1"/>
      <w:marLeft w:val="0"/>
      <w:marRight w:val="0"/>
      <w:marTop w:val="0"/>
      <w:marBottom w:val="0"/>
      <w:divBdr>
        <w:top w:val="none" w:sz="0" w:space="0" w:color="auto"/>
        <w:left w:val="none" w:sz="0" w:space="0" w:color="auto"/>
        <w:bottom w:val="none" w:sz="0" w:space="0" w:color="auto"/>
        <w:right w:val="none" w:sz="0" w:space="0" w:color="auto"/>
      </w:divBdr>
      <w:divsChild>
        <w:div w:id="1237594409">
          <w:marLeft w:val="1166"/>
          <w:marRight w:val="0"/>
          <w:marTop w:val="86"/>
          <w:marBottom w:val="0"/>
          <w:divBdr>
            <w:top w:val="none" w:sz="0" w:space="0" w:color="auto"/>
            <w:left w:val="none" w:sz="0" w:space="0" w:color="auto"/>
            <w:bottom w:val="none" w:sz="0" w:space="0" w:color="auto"/>
            <w:right w:val="none" w:sz="0" w:space="0" w:color="auto"/>
          </w:divBdr>
        </w:div>
        <w:div w:id="1283069710">
          <w:marLeft w:val="1800"/>
          <w:marRight w:val="0"/>
          <w:marTop w:val="77"/>
          <w:marBottom w:val="0"/>
          <w:divBdr>
            <w:top w:val="none" w:sz="0" w:space="0" w:color="auto"/>
            <w:left w:val="none" w:sz="0" w:space="0" w:color="auto"/>
            <w:bottom w:val="none" w:sz="0" w:space="0" w:color="auto"/>
            <w:right w:val="none" w:sz="0" w:space="0" w:color="auto"/>
          </w:divBdr>
        </w:div>
        <w:div w:id="724257198">
          <w:marLeft w:val="1800"/>
          <w:marRight w:val="0"/>
          <w:marTop w:val="77"/>
          <w:marBottom w:val="0"/>
          <w:divBdr>
            <w:top w:val="none" w:sz="0" w:space="0" w:color="auto"/>
            <w:left w:val="none" w:sz="0" w:space="0" w:color="auto"/>
            <w:bottom w:val="none" w:sz="0" w:space="0" w:color="auto"/>
            <w:right w:val="none" w:sz="0" w:space="0" w:color="auto"/>
          </w:divBdr>
        </w:div>
        <w:div w:id="1108349741">
          <w:marLeft w:val="1166"/>
          <w:marRight w:val="0"/>
          <w:marTop w:val="86"/>
          <w:marBottom w:val="0"/>
          <w:divBdr>
            <w:top w:val="none" w:sz="0" w:space="0" w:color="auto"/>
            <w:left w:val="none" w:sz="0" w:space="0" w:color="auto"/>
            <w:bottom w:val="none" w:sz="0" w:space="0" w:color="auto"/>
            <w:right w:val="none" w:sz="0" w:space="0" w:color="auto"/>
          </w:divBdr>
        </w:div>
        <w:div w:id="631256013">
          <w:marLeft w:val="1800"/>
          <w:marRight w:val="0"/>
          <w:marTop w:val="77"/>
          <w:marBottom w:val="0"/>
          <w:divBdr>
            <w:top w:val="none" w:sz="0" w:space="0" w:color="auto"/>
            <w:left w:val="none" w:sz="0" w:space="0" w:color="auto"/>
            <w:bottom w:val="none" w:sz="0" w:space="0" w:color="auto"/>
            <w:right w:val="none" w:sz="0" w:space="0" w:color="auto"/>
          </w:divBdr>
        </w:div>
        <w:div w:id="650447653">
          <w:marLeft w:val="1800"/>
          <w:marRight w:val="0"/>
          <w:marTop w:val="77"/>
          <w:marBottom w:val="0"/>
          <w:divBdr>
            <w:top w:val="none" w:sz="0" w:space="0" w:color="auto"/>
            <w:left w:val="none" w:sz="0" w:space="0" w:color="auto"/>
            <w:bottom w:val="none" w:sz="0" w:space="0" w:color="auto"/>
            <w:right w:val="none" w:sz="0" w:space="0" w:color="auto"/>
          </w:divBdr>
        </w:div>
      </w:divsChild>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64778115">
      <w:bodyDiv w:val="1"/>
      <w:marLeft w:val="0"/>
      <w:marRight w:val="0"/>
      <w:marTop w:val="0"/>
      <w:marBottom w:val="0"/>
      <w:divBdr>
        <w:top w:val="none" w:sz="0" w:space="0" w:color="auto"/>
        <w:left w:val="none" w:sz="0" w:space="0" w:color="auto"/>
        <w:bottom w:val="none" w:sz="0" w:space="0" w:color="auto"/>
        <w:right w:val="none" w:sz="0" w:space="0" w:color="auto"/>
      </w:divBdr>
    </w:div>
    <w:div w:id="348914179">
      <w:bodyDiv w:val="1"/>
      <w:marLeft w:val="0"/>
      <w:marRight w:val="0"/>
      <w:marTop w:val="0"/>
      <w:marBottom w:val="0"/>
      <w:divBdr>
        <w:top w:val="none" w:sz="0" w:space="0" w:color="auto"/>
        <w:left w:val="none" w:sz="0" w:space="0" w:color="auto"/>
        <w:bottom w:val="none" w:sz="0" w:space="0" w:color="auto"/>
        <w:right w:val="none" w:sz="0" w:space="0" w:color="auto"/>
      </w:divBdr>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62964543">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89716347">
      <w:bodyDiv w:val="1"/>
      <w:marLeft w:val="0"/>
      <w:marRight w:val="0"/>
      <w:marTop w:val="0"/>
      <w:marBottom w:val="0"/>
      <w:divBdr>
        <w:top w:val="none" w:sz="0" w:space="0" w:color="auto"/>
        <w:left w:val="none" w:sz="0" w:space="0" w:color="auto"/>
        <w:bottom w:val="none" w:sz="0" w:space="0" w:color="auto"/>
        <w:right w:val="none" w:sz="0" w:space="0" w:color="auto"/>
      </w:divBdr>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763192007">
      <w:bodyDiv w:val="1"/>
      <w:marLeft w:val="0"/>
      <w:marRight w:val="0"/>
      <w:marTop w:val="0"/>
      <w:marBottom w:val="0"/>
      <w:divBdr>
        <w:top w:val="none" w:sz="0" w:space="0" w:color="auto"/>
        <w:left w:val="none" w:sz="0" w:space="0" w:color="auto"/>
        <w:bottom w:val="none" w:sz="0" w:space="0" w:color="auto"/>
        <w:right w:val="none" w:sz="0" w:space="0" w:color="auto"/>
      </w:divBdr>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157966182">
          <w:marLeft w:val="547"/>
          <w:marRight w:val="0"/>
          <w:marTop w:val="96"/>
          <w:marBottom w:val="0"/>
          <w:divBdr>
            <w:top w:val="none" w:sz="0" w:space="0" w:color="auto"/>
            <w:left w:val="none" w:sz="0" w:space="0" w:color="auto"/>
            <w:bottom w:val="none" w:sz="0" w:space="0" w:color="auto"/>
            <w:right w:val="none" w:sz="0" w:space="0" w:color="auto"/>
          </w:divBdr>
        </w:div>
        <w:div w:id="934752506">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823200103">
      <w:bodyDiv w:val="1"/>
      <w:marLeft w:val="0"/>
      <w:marRight w:val="0"/>
      <w:marTop w:val="0"/>
      <w:marBottom w:val="0"/>
      <w:divBdr>
        <w:top w:val="none" w:sz="0" w:space="0" w:color="auto"/>
        <w:left w:val="none" w:sz="0" w:space="0" w:color="auto"/>
        <w:bottom w:val="none" w:sz="0" w:space="0" w:color="auto"/>
        <w:right w:val="none" w:sz="0" w:space="0" w:color="auto"/>
      </w:divBdr>
      <w:divsChild>
        <w:div w:id="1235163549">
          <w:marLeft w:val="432"/>
          <w:marRight w:val="0"/>
          <w:marTop w:val="240"/>
          <w:marBottom w:val="0"/>
          <w:divBdr>
            <w:top w:val="none" w:sz="0" w:space="0" w:color="auto"/>
            <w:left w:val="none" w:sz="0" w:space="0" w:color="auto"/>
            <w:bottom w:val="none" w:sz="0" w:space="0" w:color="auto"/>
            <w:right w:val="none" w:sz="0" w:space="0" w:color="auto"/>
          </w:divBdr>
        </w:div>
      </w:divsChild>
    </w:div>
    <w:div w:id="938367695">
      <w:bodyDiv w:val="1"/>
      <w:marLeft w:val="0"/>
      <w:marRight w:val="0"/>
      <w:marTop w:val="0"/>
      <w:marBottom w:val="0"/>
      <w:divBdr>
        <w:top w:val="none" w:sz="0" w:space="0" w:color="auto"/>
        <w:left w:val="none" w:sz="0" w:space="0" w:color="auto"/>
        <w:bottom w:val="none" w:sz="0" w:space="0" w:color="auto"/>
        <w:right w:val="none" w:sz="0" w:space="0" w:color="auto"/>
      </w:divBdr>
    </w:div>
    <w:div w:id="993266951">
      <w:bodyDiv w:val="1"/>
      <w:marLeft w:val="0"/>
      <w:marRight w:val="0"/>
      <w:marTop w:val="0"/>
      <w:marBottom w:val="0"/>
      <w:divBdr>
        <w:top w:val="none" w:sz="0" w:space="0" w:color="auto"/>
        <w:left w:val="none" w:sz="0" w:space="0" w:color="auto"/>
        <w:bottom w:val="none" w:sz="0" w:space="0" w:color="auto"/>
        <w:right w:val="none" w:sz="0" w:space="0" w:color="auto"/>
      </w:divBdr>
    </w:div>
    <w:div w:id="1007175633">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20606230">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146361542">
      <w:bodyDiv w:val="1"/>
      <w:marLeft w:val="0"/>
      <w:marRight w:val="0"/>
      <w:marTop w:val="0"/>
      <w:marBottom w:val="0"/>
      <w:divBdr>
        <w:top w:val="none" w:sz="0" w:space="0" w:color="auto"/>
        <w:left w:val="none" w:sz="0" w:space="0" w:color="auto"/>
        <w:bottom w:val="none" w:sz="0" w:space="0" w:color="auto"/>
        <w:right w:val="none" w:sz="0" w:space="0" w:color="auto"/>
      </w:divBdr>
    </w:div>
    <w:div w:id="1197352728">
      <w:bodyDiv w:val="1"/>
      <w:marLeft w:val="0"/>
      <w:marRight w:val="0"/>
      <w:marTop w:val="0"/>
      <w:marBottom w:val="0"/>
      <w:divBdr>
        <w:top w:val="none" w:sz="0" w:space="0" w:color="auto"/>
        <w:left w:val="none" w:sz="0" w:space="0" w:color="auto"/>
        <w:bottom w:val="none" w:sz="0" w:space="0" w:color="auto"/>
        <w:right w:val="none" w:sz="0" w:space="0" w:color="auto"/>
      </w:divBdr>
      <w:divsChild>
        <w:div w:id="1274283247">
          <w:marLeft w:val="1166"/>
          <w:marRight w:val="0"/>
          <w:marTop w:val="86"/>
          <w:marBottom w:val="0"/>
          <w:divBdr>
            <w:top w:val="none" w:sz="0" w:space="0" w:color="auto"/>
            <w:left w:val="none" w:sz="0" w:space="0" w:color="auto"/>
            <w:bottom w:val="none" w:sz="0" w:space="0" w:color="auto"/>
            <w:right w:val="none" w:sz="0" w:space="0" w:color="auto"/>
          </w:divBdr>
        </w:div>
        <w:div w:id="1044256619">
          <w:marLeft w:val="1800"/>
          <w:marRight w:val="0"/>
          <w:marTop w:val="77"/>
          <w:marBottom w:val="0"/>
          <w:divBdr>
            <w:top w:val="none" w:sz="0" w:space="0" w:color="auto"/>
            <w:left w:val="none" w:sz="0" w:space="0" w:color="auto"/>
            <w:bottom w:val="none" w:sz="0" w:space="0" w:color="auto"/>
            <w:right w:val="none" w:sz="0" w:space="0" w:color="auto"/>
          </w:divBdr>
        </w:div>
        <w:div w:id="589506575">
          <w:marLeft w:val="1800"/>
          <w:marRight w:val="0"/>
          <w:marTop w:val="77"/>
          <w:marBottom w:val="0"/>
          <w:divBdr>
            <w:top w:val="none" w:sz="0" w:space="0" w:color="auto"/>
            <w:left w:val="none" w:sz="0" w:space="0" w:color="auto"/>
            <w:bottom w:val="none" w:sz="0" w:space="0" w:color="auto"/>
            <w:right w:val="none" w:sz="0" w:space="0" w:color="auto"/>
          </w:divBdr>
        </w:div>
        <w:div w:id="1611473073">
          <w:marLeft w:val="1800"/>
          <w:marRight w:val="0"/>
          <w:marTop w:val="77"/>
          <w:marBottom w:val="0"/>
          <w:divBdr>
            <w:top w:val="none" w:sz="0" w:space="0" w:color="auto"/>
            <w:left w:val="none" w:sz="0" w:space="0" w:color="auto"/>
            <w:bottom w:val="none" w:sz="0" w:space="0" w:color="auto"/>
            <w:right w:val="none" w:sz="0" w:space="0" w:color="auto"/>
          </w:divBdr>
        </w:div>
      </w:divsChild>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129131082">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694500472">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sChild>
    </w:div>
    <w:div w:id="1276903920">
      <w:bodyDiv w:val="1"/>
      <w:marLeft w:val="0"/>
      <w:marRight w:val="0"/>
      <w:marTop w:val="0"/>
      <w:marBottom w:val="0"/>
      <w:divBdr>
        <w:top w:val="none" w:sz="0" w:space="0" w:color="auto"/>
        <w:left w:val="none" w:sz="0" w:space="0" w:color="auto"/>
        <w:bottom w:val="none" w:sz="0" w:space="0" w:color="auto"/>
        <w:right w:val="none" w:sz="0" w:space="0" w:color="auto"/>
      </w:divBdr>
      <w:divsChild>
        <w:div w:id="1890215620">
          <w:marLeft w:val="432"/>
          <w:marRight w:val="0"/>
          <w:marTop w:val="240"/>
          <w:marBottom w:val="0"/>
          <w:divBdr>
            <w:top w:val="none" w:sz="0" w:space="0" w:color="auto"/>
            <w:left w:val="none" w:sz="0" w:space="0" w:color="auto"/>
            <w:bottom w:val="none" w:sz="0" w:space="0" w:color="auto"/>
            <w:right w:val="none" w:sz="0" w:space="0" w:color="auto"/>
          </w:divBdr>
        </w:div>
        <w:div w:id="126750494">
          <w:marLeft w:val="1267"/>
          <w:marRight w:val="0"/>
          <w:marTop w:val="180"/>
          <w:marBottom w:val="0"/>
          <w:divBdr>
            <w:top w:val="none" w:sz="0" w:space="0" w:color="auto"/>
            <w:left w:val="none" w:sz="0" w:space="0" w:color="auto"/>
            <w:bottom w:val="none" w:sz="0" w:space="0" w:color="auto"/>
            <w:right w:val="none" w:sz="0" w:space="0" w:color="auto"/>
          </w:divBdr>
        </w:div>
        <w:div w:id="915627680">
          <w:marLeft w:val="432"/>
          <w:marRight w:val="0"/>
          <w:marTop w:val="240"/>
          <w:marBottom w:val="0"/>
          <w:divBdr>
            <w:top w:val="none" w:sz="0" w:space="0" w:color="auto"/>
            <w:left w:val="none" w:sz="0" w:space="0" w:color="auto"/>
            <w:bottom w:val="none" w:sz="0" w:space="0" w:color="auto"/>
            <w:right w:val="none" w:sz="0" w:space="0" w:color="auto"/>
          </w:divBdr>
        </w:div>
        <w:div w:id="28799930">
          <w:marLeft w:val="1267"/>
          <w:marRight w:val="0"/>
          <w:marTop w:val="180"/>
          <w:marBottom w:val="0"/>
          <w:divBdr>
            <w:top w:val="none" w:sz="0" w:space="0" w:color="auto"/>
            <w:left w:val="none" w:sz="0" w:space="0" w:color="auto"/>
            <w:bottom w:val="none" w:sz="0" w:space="0" w:color="auto"/>
            <w:right w:val="none" w:sz="0" w:space="0" w:color="auto"/>
          </w:divBdr>
        </w:div>
      </w:divsChild>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409838960">
      <w:bodyDiv w:val="1"/>
      <w:marLeft w:val="0"/>
      <w:marRight w:val="0"/>
      <w:marTop w:val="0"/>
      <w:marBottom w:val="0"/>
      <w:divBdr>
        <w:top w:val="none" w:sz="0" w:space="0" w:color="auto"/>
        <w:left w:val="none" w:sz="0" w:space="0" w:color="auto"/>
        <w:bottom w:val="none" w:sz="0" w:space="0" w:color="auto"/>
        <w:right w:val="none" w:sz="0" w:space="0" w:color="auto"/>
      </w:divBdr>
      <w:divsChild>
        <w:div w:id="107815137">
          <w:marLeft w:val="1166"/>
          <w:marRight w:val="0"/>
          <w:marTop w:val="77"/>
          <w:marBottom w:val="0"/>
          <w:divBdr>
            <w:top w:val="none" w:sz="0" w:space="0" w:color="auto"/>
            <w:left w:val="none" w:sz="0" w:space="0" w:color="auto"/>
            <w:bottom w:val="none" w:sz="0" w:space="0" w:color="auto"/>
            <w:right w:val="none" w:sz="0" w:space="0" w:color="auto"/>
          </w:divBdr>
        </w:div>
        <w:div w:id="1555658522">
          <w:marLeft w:val="1800"/>
          <w:marRight w:val="0"/>
          <w:marTop w:val="67"/>
          <w:marBottom w:val="0"/>
          <w:divBdr>
            <w:top w:val="none" w:sz="0" w:space="0" w:color="auto"/>
            <w:left w:val="none" w:sz="0" w:space="0" w:color="auto"/>
            <w:bottom w:val="none" w:sz="0" w:space="0" w:color="auto"/>
            <w:right w:val="none" w:sz="0" w:space="0" w:color="auto"/>
          </w:divBdr>
        </w:div>
        <w:div w:id="1776245397">
          <w:marLeft w:val="1800"/>
          <w:marRight w:val="0"/>
          <w:marTop w:val="67"/>
          <w:marBottom w:val="0"/>
          <w:divBdr>
            <w:top w:val="none" w:sz="0" w:space="0" w:color="auto"/>
            <w:left w:val="none" w:sz="0" w:space="0" w:color="auto"/>
            <w:bottom w:val="none" w:sz="0" w:space="0" w:color="auto"/>
            <w:right w:val="none" w:sz="0" w:space="0" w:color="auto"/>
          </w:divBdr>
        </w:div>
        <w:div w:id="765928914">
          <w:marLeft w:val="1166"/>
          <w:marRight w:val="0"/>
          <w:marTop w:val="77"/>
          <w:marBottom w:val="0"/>
          <w:divBdr>
            <w:top w:val="none" w:sz="0" w:space="0" w:color="auto"/>
            <w:left w:val="none" w:sz="0" w:space="0" w:color="auto"/>
            <w:bottom w:val="none" w:sz="0" w:space="0" w:color="auto"/>
            <w:right w:val="none" w:sz="0" w:space="0" w:color="auto"/>
          </w:divBdr>
        </w:div>
        <w:div w:id="625888533">
          <w:marLeft w:val="1166"/>
          <w:marRight w:val="0"/>
          <w:marTop w:val="77"/>
          <w:marBottom w:val="0"/>
          <w:divBdr>
            <w:top w:val="none" w:sz="0" w:space="0" w:color="auto"/>
            <w:left w:val="none" w:sz="0" w:space="0" w:color="auto"/>
            <w:bottom w:val="none" w:sz="0" w:space="0" w:color="auto"/>
            <w:right w:val="none" w:sz="0" w:space="0" w:color="auto"/>
          </w:divBdr>
        </w:div>
        <w:div w:id="1092118139">
          <w:marLeft w:val="1800"/>
          <w:marRight w:val="0"/>
          <w:marTop w:val="67"/>
          <w:marBottom w:val="0"/>
          <w:divBdr>
            <w:top w:val="none" w:sz="0" w:space="0" w:color="auto"/>
            <w:left w:val="none" w:sz="0" w:space="0" w:color="auto"/>
            <w:bottom w:val="none" w:sz="0" w:space="0" w:color="auto"/>
            <w:right w:val="none" w:sz="0" w:space="0" w:color="auto"/>
          </w:divBdr>
        </w:div>
        <w:div w:id="1490976732">
          <w:marLeft w:val="1800"/>
          <w:marRight w:val="0"/>
          <w:marTop w:val="67"/>
          <w:marBottom w:val="0"/>
          <w:divBdr>
            <w:top w:val="none" w:sz="0" w:space="0" w:color="auto"/>
            <w:left w:val="none" w:sz="0" w:space="0" w:color="auto"/>
            <w:bottom w:val="none" w:sz="0" w:space="0" w:color="auto"/>
            <w:right w:val="none" w:sz="0" w:space="0" w:color="auto"/>
          </w:divBdr>
        </w:div>
        <w:div w:id="2011179889">
          <w:marLeft w:val="2520"/>
          <w:marRight w:val="0"/>
          <w:marTop w:val="58"/>
          <w:marBottom w:val="0"/>
          <w:divBdr>
            <w:top w:val="none" w:sz="0" w:space="0" w:color="auto"/>
            <w:left w:val="none" w:sz="0" w:space="0" w:color="auto"/>
            <w:bottom w:val="none" w:sz="0" w:space="0" w:color="auto"/>
            <w:right w:val="none" w:sz="0" w:space="0" w:color="auto"/>
          </w:divBdr>
        </w:div>
        <w:div w:id="628899880">
          <w:marLeft w:val="2520"/>
          <w:marRight w:val="0"/>
          <w:marTop w:val="58"/>
          <w:marBottom w:val="0"/>
          <w:divBdr>
            <w:top w:val="none" w:sz="0" w:space="0" w:color="auto"/>
            <w:left w:val="none" w:sz="0" w:space="0" w:color="auto"/>
            <w:bottom w:val="none" w:sz="0" w:space="0" w:color="auto"/>
            <w:right w:val="none" w:sz="0" w:space="0" w:color="auto"/>
          </w:divBdr>
        </w:div>
        <w:div w:id="1644769860">
          <w:marLeft w:val="1800"/>
          <w:marRight w:val="0"/>
          <w:marTop w:val="67"/>
          <w:marBottom w:val="0"/>
          <w:divBdr>
            <w:top w:val="none" w:sz="0" w:space="0" w:color="auto"/>
            <w:left w:val="none" w:sz="0" w:space="0" w:color="auto"/>
            <w:bottom w:val="none" w:sz="0" w:space="0" w:color="auto"/>
            <w:right w:val="none" w:sz="0" w:space="0" w:color="auto"/>
          </w:divBdr>
        </w:div>
        <w:div w:id="1023942021">
          <w:marLeft w:val="1800"/>
          <w:marRight w:val="0"/>
          <w:marTop w:val="67"/>
          <w:marBottom w:val="0"/>
          <w:divBdr>
            <w:top w:val="none" w:sz="0" w:space="0" w:color="auto"/>
            <w:left w:val="none" w:sz="0" w:space="0" w:color="auto"/>
            <w:bottom w:val="none" w:sz="0" w:space="0" w:color="auto"/>
            <w:right w:val="none" w:sz="0" w:space="0" w:color="auto"/>
          </w:divBdr>
        </w:div>
        <w:div w:id="968163884">
          <w:marLeft w:val="1166"/>
          <w:marRight w:val="0"/>
          <w:marTop w:val="77"/>
          <w:marBottom w:val="0"/>
          <w:divBdr>
            <w:top w:val="none" w:sz="0" w:space="0" w:color="auto"/>
            <w:left w:val="none" w:sz="0" w:space="0" w:color="auto"/>
            <w:bottom w:val="none" w:sz="0" w:space="0" w:color="auto"/>
            <w:right w:val="none" w:sz="0" w:space="0" w:color="auto"/>
          </w:divBdr>
        </w:div>
        <w:div w:id="1630628383">
          <w:marLeft w:val="1166"/>
          <w:marRight w:val="0"/>
          <w:marTop w:val="96"/>
          <w:marBottom w:val="0"/>
          <w:divBdr>
            <w:top w:val="none" w:sz="0" w:space="0" w:color="auto"/>
            <w:left w:val="none" w:sz="0" w:space="0" w:color="auto"/>
            <w:bottom w:val="none" w:sz="0" w:space="0" w:color="auto"/>
            <w:right w:val="none" w:sz="0" w:space="0" w:color="auto"/>
          </w:divBdr>
        </w:div>
      </w:divsChild>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524973035">
      <w:bodyDiv w:val="1"/>
      <w:marLeft w:val="0"/>
      <w:marRight w:val="0"/>
      <w:marTop w:val="0"/>
      <w:marBottom w:val="0"/>
      <w:divBdr>
        <w:top w:val="none" w:sz="0" w:space="0" w:color="auto"/>
        <w:left w:val="none" w:sz="0" w:space="0" w:color="auto"/>
        <w:bottom w:val="none" w:sz="0" w:space="0" w:color="auto"/>
        <w:right w:val="none" w:sz="0" w:space="0" w:color="auto"/>
      </w:divBdr>
      <w:divsChild>
        <w:div w:id="572550674">
          <w:marLeft w:val="432"/>
          <w:marRight w:val="0"/>
          <w:marTop w:val="240"/>
          <w:marBottom w:val="0"/>
          <w:divBdr>
            <w:top w:val="none" w:sz="0" w:space="0" w:color="auto"/>
            <w:left w:val="none" w:sz="0" w:space="0" w:color="auto"/>
            <w:bottom w:val="none" w:sz="0" w:space="0" w:color="auto"/>
            <w:right w:val="none" w:sz="0" w:space="0" w:color="auto"/>
          </w:divBdr>
        </w:div>
        <w:div w:id="1916931041">
          <w:marLeft w:val="1267"/>
          <w:marRight w:val="0"/>
          <w:marTop w:val="180"/>
          <w:marBottom w:val="0"/>
          <w:divBdr>
            <w:top w:val="none" w:sz="0" w:space="0" w:color="auto"/>
            <w:left w:val="none" w:sz="0" w:space="0" w:color="auto"/>
            <w:bottom w:val="none" w:sz="0" w:space="0" w:color="auto"/>
            <w:right w:val="none" w:sz="0" w:space="0" w:color="auto"/>
          </w:divBdr>
        </w:div>
        <w:div w:id="878082421">
          <w:marLeft w:val="432"/>
          <w:marRight w:val="0"/>
          <w:marTop w:val="240"/>
          <w:marBottom w:val="0"/>
          <w:divBdr>
            <w:top w:val="none" w:sz="0" w:space="0" w:color="auto"/>
            <w:left w:val="none" w:sz="0" w:space="0" w:color="auto"/>
            <w:bottom w:val="none" w:sz="0" w:space="0" w:color="auto"/>
            <w:right w:val="none" w:sz="0" w:space="0" w:color="auto"/>
          </w:divBdr>
        </w:div>
        <w:div w:id="1359350703">
          <w:marLeft w:val="1267"/>
          <w:marRight w:val="0"/>
          <w:marTop w:val="180"/>
          <w:marBottom w:val="0"/>
          <w:divBdr>
            <w:top w:val="none" w:sz="0" w:space="0" w:color="auto"/>
            <w:left w:val="none" w:sz="0" w:space="0" w:color="auto"/>
            <w:bottom w:val="none" w:sz="0" w:space="0" w:color="auto"/>
            <w:right w:val="none" w:sz="0" w:space="0" w:color="auto"/>
          </w:divBdr>
        </w:div>
        <w:div w:id="533540155">
          <w:marLeft w:val="1267"/>
          <w:marRight w:val="0"/>
          <w:marTop w:val="180"/>
          <w:marBottom w:val="0"/>
          <w:divBdr>
            <w:top w:val="none" w:sz="0" w:space="0" w:color="auto"/>
            <w:left w:val="none" w:sz="0" w:space="0" w:color="auto"/>
            <w:bottom w:val="none" w:sz="0" w:space="0" w:color="auto"/>
            <w:right w:val="none" w:sz="0" w:space="0" w:color="auto"/>
          </w:divBdr>
        </w:div>
        <w:div w:id="61298004">
          <w:marLeft w:val="432"/>
          <w:marRight w:val="0"/>
          <w:marTop w:val="240"/>
          <w:marBottom w:val="0"/>
          <w:divBdr>
            <w:top w:val="none" w:sz="0" w:space="0" w:color="auto"/>
            <w:left w:val="none" w:sz="0" w:space="0" w:color="auto"/>
            <w:bottom w:val="none" w:sz="0" w:space="0" w:color="auto"/>
            <w:right w:val="none" w:sz="0" w:space="0" w:color="auto"/>
          </w:divBdr>
        </w:div>
        <w:div w:id="408310247">
          <w:marLeft w:val="1267"/>
          <w:marRight w:val="0"/>
          <w:marTop w:val="180"/>
          <w:marBottom w:val="0"/>
          <w:divBdr>
            <w:top w:val="none" w:sz="0" w:space="0" w:color="auto"/>
            <w:left w:val="none" w:sz="0" w:space="0" w:color="auto"/>
            <w:bottom w:val="none" w:sz="0" w:space="0" w:color="auto"/>
            <w:right w:val="none" w:sz="0" w:space="0" w:color="auto"/>
          </w:divBdr>
        </w:div>
        <w:div w:id="1785424039">
          <w:marLeft w:val="432"/>
          <w:marRight w:val="0"/>
          <w:marTop w:val="240"/>
          <w:marBottom w:val="0"/>
          <w:divBdr>
            <w:top w:val="none" w:sz="0" w:space="0" w:color="auto"/>
            <w:left w:val="none" w:sz="0" w:space="0" w:color="auto"/>
            <w:bottom w:val="none" w:sz="0" w:space="0" w:color="auto"/>
            <w:right w:val="none" w:sz="0" w:space="0" w:color="auto"/>
          </w:divBdr>
        </w:div>
        <w:div w:id="809905627">
          <w:marLeft w:val="432"/>
          <w:marRight w:val="0"/>
          <w:marTop w:val="240"/>
          <w:marBottom w:val="0"/>
          <w:divBdr>
            <w:top w:val="none" w:sz="0" w:space="0" w:color="auto"/>
            <w:left w:val="none" w:sz="0" w:space="0" w:color="auto"/>
            <w:bottom w:val="none" w:sz="0" w:space="0" w:color="auto"/>
            <w:right w:val="none" w:sz="0" w:space="0" w:color="auto"/>
          </w:divBdr>
        </w:div>
        <w:div w:id="510949030">
          <w:marLeft w:val="432"/>
          <w:marRight w:val="0"/>
          <w:marTop w:val="240"/>
          <w:marBottom w:val="0"/>
          <w:divBdr>
            <w:top w:val="none" w:sz="0" w:space="0" w:color="auto"/>
            <w:left w:val="none" w:sz="0" w:space="0" w:color="auto"/>
            <w:bottom w:val="none" w:sz="0" w:space="0" w:color="auto"/>
            <w:right w:val="none" w:sz="0" w:space="0" w:color="auto"/>
          </w:divBdr>
        </w:div>
      </w:divsChild>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297880544">
          <w:marLeft w:val="1166"/>
          <w:marRight w:val="0"/>
          <w:marTop w:val="82"/>
          <w:marBottom w:val="0"/>
          <w:divBdr>
            <w:top w:val="none" w:sz="0" w:space="0" w:color="auto"/>
            <w:left w:val="none" w:sz="0" w:space="0" w:color="auto"/>
            <w:bottom w:val="none" w:sz="0" w:space="0" w:color="auto"/>
            <w:right w:val="none" w:sz="0" w:space="0" w:color="auto"/>
          </w:divBdr>
        </w:div>
        <w:div w:id="912011725">
          <w:marLeft w:val="547"/>
          <w:marRight w:val="0"/>
          <w:marTop w:val="96"/>
          <w:marBottom w:val="0"/>
          <w:divBdr>
            <w:top w:val="none" w:sz="0" w:space="0" w:color="auto"/>
            <w:left w:val="none" w:sz="0" w:space="0" w:color="auto"/>
            <w:bottom w:val="none" w:sz="0" w:space="0" w:color="auto"/>
            <w:right w:val="none" w:sz="0" w:space="0" w:color="auto"/>
          </w:divBdr>
        </w:div>
      </w:divsChild>
    </w:div>
    <w:div w:id="1633251421">
      <w:bodyDiv w:val="1"/>
      <w:marLeft w:val="0"/>
      <w:marRight w:val="0"/>
      <w:marTop w:val="0"/>
      <w:marBottom w:val="0"/>
      <w:divBdr>
        <w:top w:val="none" w:sz="0" w:space="0" w:color="auto"/>
        <w:left w:val="none" w:sz="0" w:space="0" w:color="auto"/>
        <w:bottom w:val="none" w:sz="0" w:space="0" w:color="auto"/>
        <w:right w:val="none" w:sz="0" w:space="0" w:color="auto"/>
      </w:divBdr>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57288850">
          <w:marLeft w:val="1800"/>
          <w:marRight w:val="0"/>
          <w:marTop w:val="82"/>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841965196">
      <w:bodyDiv w:val="1"/>
      <w:marLeft w:val="0"/>
      <w:marRight w:val="0"/>
      <w:marTop w:val="0"/>
      <w:marBottom w:val="0"/>
      <w:divBdr>
        <w:top w:val="none" w:sz="0" w:space="0" w:color="auto"/>
        <w:left w:val="none" w:sz="0" w:space="0" w:color="auto"/>
        <w:bottom w:val="none" w:sz="0" w:space="0" w:color="auto"/>
        <w:right w:val="none" w:sz="0" w:space="0" w:color="auto"/>
      </w:divBdr>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187723870">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2091079650">
          <w:marLeft w:val="547"/>
          <w:marRight w:val="0"/>
          <w:marTop w:val="96"/>
          <w:marBottom w:val="0"/>
          <w:divBdr>
            <w:top w:val="none" w:sz="0" w:space="0" w:color="auto"/>
            <w:left w:val="none" w:sz="0" w:space="0" w:color="auto"/>
            <w:bottom w:val="none" w:sz="0" w:space="0" w:color="auto"/>
            <w:right w:val="none" w:sz="0" w:space="0" w:color="auto"/>
          </w:divBdr>
        </w:div>
      </w:divsChild>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43031904">
      <w:bodyDiv w:val="1"/>
      <w:marLeft w:val="0"/>
      <w:marRight w:val="0"/>
      <w:marTop w:val="0"/>
      <w:marBottom w:val="0"/>
      <w:divBdr>
        <w:top w:val="none" w:sz="0" w:space="0" w:color="auto"/>
        <w:left w:val="none" w:sz="0" w:space="0" w:color="auto"/>
        <w:bottom w:val="none" w:sz="0" w:space="0" w:color="auto"/>
        <w:right w:val="none" w:sz="0" w:space="0" w:color="auto"/>
      </w:divBdr>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138960184">
          <w:marLeft w:val="1800"/>
          <w:marRight w:val="0"/>
          <w:marTop w:val="82"/>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755056016">
          <w:marLeft w:val="1166"/>
          <w:marRight w:val="0"/>
          <w:marTop w:val="96"/>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4.png"/><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package" Target="embeddings/Microsoft_Visio_Drawing1.vsdx"/><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image" Target="media/image20.wmf"/><Relationship Id="rId10" Type="http://schemas.openxmlformats.org/officeDocument/2006/relationships/webSettings" Target="webSettings.xml"/><Relationship Id="rId19" Type="http://schemas.openxmlformats.org/officeDocument/2006/relationships/image" Target="cid:image002.png@01D6A3B6.C7FD9B30" TargetMode="Externa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6397e17d392d56ada45e5242a5a5938d">
  <xsd:schema xmlns:xsd="http://www.w3.org/2001/XMLSchema" xmlns:xs="http://www.w3.org/2001/XMLSchema" xmlns:p="http://schemas.microsoft.com/office/2006/metadata/properties" xmlns:ns2="554bdb6f-217d-4cda-85cc-0ca32126c36c" xmlns:ns3="9238aee7-caa6-41e3-83d0-457e088803cc" targetNamespace="http://schemas.microsoft.com/office/2006/metadata/properties" ma:root="true" ma:fieldsID="35443afd3cef50bc872c7ec5e285e232" ns2:_="" ns3:_="">
    <xsd:import namespace="554bdb6f-217d-4cda-85cc-0ca32126c36c"/>
    <xsd:import namespace="9238aee7-caa6-41e3-83d0-457e088803cc"/>
    <xsd:element name="properties">
      <xsd:complexType>
        <xsd:sequence>
          <xsd:element name="documentManagement">
            <xsd:complexType>
              <xsd:all>
                <xsd:element ref="ns2:o6c2a48b16e24d09b795349389dda484" minOccurs="0"/>
                <xsd:element ref="ns3:TaxCatchAll" minOccurs="0"/>
                <xsd:element ref="ns2:ma7d45d2182b49a8852f1a46c168973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ABE3910-8BD7-4D9B-94B9-CF63E76A98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3.xml><?xml version="1.0" encoding="utf-8"?>
<ds:datastoreItem xmlns:ds="http://schemas.openxmlformats.org/officeDocument/2006/customXml" ds:itemID="{CC7A3333-26C7-4FFE-958A-AF63BE2CD147}">
  <ds:schemaRefs>
    <ds:schemaRef ds:uri="http://schemas.microsoft.com/office/2006/metadata/properties"/>
    <ds:schemaRef ds:uri="554bdb6f-217d-4cda-85cc-0ca32126c36c"/>
    <ds:schemaRef ds:uri="http://schemas.microsoft.com/office/infopath/2007/PartnerControls"/>
    <ds:schemaRef ds:uri="9238aee7-caa6-41e3-83d0-457e088803cc"/>
  </ds:schemaRefs>
</ds:datastoreItem>
</file>

<file path=customXml/itemProps4.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5.xml><?xml version="1.0" encoding="utf-8"?>
<ds:datastoreItem xmlns:ds="http://schemas.openxmlformats.org/officeDocument/2006/customXml" ds:itemID="{FF2FB218-0400-432B-8FD7-AA9A2CBE7F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2397</TotalTime>
  <Pages>6</Pages>
  <Words>2406</Words>
  <Characters>13716</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3GPP TR ab.cde</vt:lpstr>
    </vt:vector>
  </TitlesOfParts>
  <Company/>
  <LinksUpToDate>false</LinksUpToDate>
  <CharactersWithSpaces>16090</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dc:description/>
  <cp:lastModifiedBy>Gilles Charbit</cp:lastModifiedBy>
  <cp:revision>88</cp:revision>
  <cp:lastPrinted>2017-11-03T15:53:00Z</cp:lastPrinted>
  <dcterms:created xsi:type="dcterms:W3CDTF">2020-08-03T15:08:00Z</dcterms:created>
  <dcterms:modified xsi:type="dcterms:W3CDTF">2021-01-15T17:23:00Z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Document_x0020_Type">
    <vt:lpwstr/>
  </property>
  <property fmtid="{D5CDD505-2E9C-101B-9397-08002B2CF9AE}" pid="5" name="Technical_x0020_Type">
    <vt:lpwstr/>
  </property>
  <property fmtid="{D5CDD505-2E9C-101B-9397-08002B2CF9AE}" pid="6" name="ContentTypeId">
    <vt:lpwstr>0x010100273864C3BC768F4C83F728553A532E20</vt:lpwstr>
  </property>
  <property fmtid="{D5CDD505-2E9C-101B-9397-08002B2CF9AE}" pid="7" name="Technical Type">
    <vt:lpwstr/>
  </property>
  <property fmtid="{D5CDD505-2E9C-101B-9397-08002B2CF9AE}" pid="8" name="Document Type">
    <vt:lpwstr/>
  </property>
</Properties>
</file>